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DAD7B" w14:textId="77777777" w:rsidR="00B54015" w:rsidRDefault="00B54015" w:rsidP="00D24F68">
      <w:pPr>
        <w:pStyle w:val="Header"/>
        <w:tabs>
          <w:tab w:val="right" w:pos="9072"/>
        </w:tabs>
        <w:rPr>
          <w:rFonts w:asciiTheme="minorHAnsi" w:hAnsiTheme="minorHAnsi" w:cstheme="minorHAnsi"/>
          <w:b/>
          <w:bCs/>
          <w:sz w:val="24"/>
          <w:szCs w:val="28"/>
          <w:lang w:val="en-CA"/>
        </w:rPr>
      </w:pPr>
      <w:bookmarkStart w:id="0" w:name="_Hlk67474238"/>
      <w:bookmarkEnd w:id="0"/>
    </w:p>
    <w:p w14:paraId="4B08C17B" w14:textId="77777777" w:rsidR="00E75585" w:rsidRDefault="00E75585" w:rsidP="00D24F68">
      <w:pPr>
        <w:pStyle w:val="Header"/>
        <w:tabs>
          <w:tab w:val="right" w:pos="9072"/>
        </w:tabs>
        <w:rPr>
          <w:rFonts w:asciiTheme="minorHAnsi" w:hAnsiTheme="minorHAnsi" w:cstheme="minorHAnsi"/>
          <w:b/>
          <w:bCs/>
          <w:sz w:val="24"/>
          <w:szCs w:val="28"/>
          <w:lang w:val="en-CA"/>
        </w:rPr>
      </w:pPr>
    </w:p>
    <w:p w14:paraId="194F123F" w14:textId="77777777" w:rsidR="004733A4" w:rsidRDefault="004733A4" w:rsidP="00D24F68">
      <w:pPr>
        <w:pStyle w:val="Header"/>
        <w:tabs>
          <w:tab w:val="right" w:pos="9072"/>
        </w:tabs>
        <w:rPr>
          <w:rFonts w:asciiTheme="minorHAnsi" w:hAnsiTheme="minorHAnsi" w:cstheme="minorHAnsi"/>
          <w:b/>
          <w:bCs/>
          <w:sz w:val="24"/>
          <w:szCs w:val="28"/>
          <w:lang w:val="en-CA"/>
        </w:rPr>
      </w:pPr>
    </w:p>
    <w:p w14:paraId="3C9F288A" w14:textId="46072F93" w:rsidR="00D24F68" w:rsidRPr="00CE0DD7" w:rsidRDefault="00D24F68" w:rsidP="00D24F68">
      <w:pPr>
        <w:pStyle w:val="Header"/>
        <w:tabs>
          <w:tab w:val="right" w:pos="9072"/>
        </w:tabs>
        <w:rPr>
          <w:rFonts w:asciiTheme="minorHAnsi" w:hAnsiTheme="minorHAnsi" w:cstheme="minorHAnsi"/>
          <w:b/>
          <w:bCs/>
          <w:sz w:val="24"/>
          <w:szCs w:val="28"/>
          <w:lang w:val="en-CA"/>
        </w:rPr>
      </w:pPr>
      <w:r w:rsidRPr="00CE0DD7">
        <w:rPr>
          <w:rFonts w:asciiTheme="minorHAnsi" w:hAnsiTheme="minorHAnsi" w:cstheme="minorHAnsi"/>
          <w:b/>
          <w:bCs/>
          <w:sz w:val="24"/>
          <w:szCs w:val="28"/>
          <w:lang w:val="en-CA"/>
        </w:rPr>
        <w:t>3GPP TSG RAN WG4 Meeting #10</w:t>
      </w:r>
      <w:r w:rsidR="006A2022">
        <w:rPr>
          <w:rFonts w:asciiTheme="minorHAnsi" w:hAnsiTheme="minorHAnsi" w:cstheme="minorHAnsi"/>
          <w:b/>
          <w:bCs/>
          <w:sz w:val="24"/>
          <w:szCs w:val="28"/>
          <w:lang w:val="en-CA"/>
        </w:rPr>
        <w:t>7</w:t>
      </w:r>
      <w:r w:rsidRPr="00CE0DD7">
        <w:rPr>
          <w:rFonts w:asciiTheme="minorHAnsi" w:hAnsiTheme="minorHAnsi" w:cstheme="minorHAnsi"/>
          <w:b/>
          <w:bCs/>
          <w:sz w:val="24"/>
          <w:szCs w:val="28"/>
          <w:lang w:val="en-CA"/>
        </w:rPr>
        <w:tab/>
      </w:r>
      <w:r w:rsidR="000F6DA4" w:rsidRPr="000F6DA4">
        <w:rPr>
          <w:rFonts w:asciiTheme="minorHAnsi" w:hAnsiTheme="minorHAnsi" w:cstheme="minorHAnsi"/>
          <w:b/>
          <w:bCs/>
          <w:sz w:val="24"/>
          <w:szCs w:val="28"/>
          <w:lang w:val="en-CA"/>
        </w:rPr>
        <w:t>R4-</w:t>
      </w:r>
      <w:r w:rsidR="009431E6" w:rsidRPr="000F6DA4">
        <w:rPr>
          <w:rFonts w:asciiTheme="minorHAnsi" w:hAnsiTheme="minorHAnsi" w:cstheme="minorHAnsi"/>
          <w:b/>
          <w:bCs/>
          <w:sz w:val="24"/>
          <w:szCs w:val="28"/>
          <w:lang w:val="en-CA"/>
        </w:rPr>
        <w:t>2</w:t>
      </w:r>
      <w:r w:rsidR="00F453D1">
        <w:rPr>
          <w:rFonts w:asciiTheme="minorHAnsi" w:hAnsiTheme="minorHAnsi" w:cstheme="minorHAnsi"/>
          <w:b/>
          <w:bCs/>
          <w:sz w:val="24"/>
          <w:szCs w:val="28"/>
          <w:lang w:val="en-CA"/>
        </w:rPr>
        <w:t>30</w:t>
      </w:r>
      <w:r w:rsidR="00AE4441">
        <w:rPr>
          <w:rFonts w:asciiTheme="minorHAnsi" w:hAnsiTheme="minorHAnsi" w:cstheme="minorHAnsi"/>
          <w:b/>
          <w:bCs/>
          <w:sz w:val="24"/>
          <w:szCs w:val="28"/>
          <w:lang w:val="en-CA"/>
        </w:rPr>
        <w:t>9593</w:t>
      </w:r>
    </w:p>
    <w:p w14:paraId="40E3119F" w14:textId="580514D5" w:rsidR="00D24F68" w:rsidRPr="00CE0DD7" w:rsidRDefault="006A2022"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Incheon</w:t>
      </w:r>
      <w:r w:rsidR="00D24F68" w:rsidRPr="00CE0DD7">
        <w:rPr>
          <w:rFonts w:asciiTheme="minorHAnsi" w:hAnsiTheme="minorHAnsi" w:cstheme="minorHAnsi"/>
          <w:b/>
          <w:bCs/>
          <w:sz w:val="24"/>
          <w:szCs w:val="28"/>
          <w:lang w:val="en-CA"/>
        </w:rPr>
        <w:t xml:space="preserve">, </w:t>
      </w:r>
      <w:r w:rsidR="004272E1">
        <w:rPr>
          <w:rFonts w:asciiTheme="minorHAnsi" w:hAnsiTheme="minorHAnsi" w:cstheme="minorHAnsi"/>
          <w:b/>
          <w:bCs/>
          <w:sz w:val="24"/>
          <w:szCs w:val="28"/>
          <w:lang w:val="en-CA"/>
        </w:rPr>
        <w:t xml:space="preserve">22 May 2023 </w:t>
      </w:r>
      <w:r w:rsidR="00D24F68" w:rsidRPr="00CE0DD7">
        <w:rPr>
          <w:rFonts w:asciiTheme="minorHAnsi" w:hAnsiTheme="minorHAnsi" w:cstheme="minorHAnsi"/>
          <w:b/>
          <w:bCs/>
          <w:sz w:val="24"/>
          <w:szCs w:val="28"/>
          <w:lang w:val="en-CA"/>
        </w:rPr>
        <w:t xml:space="preserve">– </w:t>
      </w:r>
      <w:r w:rsidR="000C71CB">
        <w:rPr>
          <w:rFonts w:asciiTheme="minorHAnsi" w:hAnsiTheme="minorHAnsi" w:cstheme="minorHAnsi"/>
          <w:b/>
          <w:bCs/>
          <w:sz w:val="24"/>
          <w:szCs w:val="28"/>
          <w:lang w:val="en-CA"/>
        </w:rPr>
        <w:t xml:space="preserve">26 </w:t>
      </w:r>
      <w:r w:rsidR="004272E1">
        <w:rPr>
          <w:rFonts w:asciiTheme="minorHAnsi" w:hAnsiTheme="minorHAnsi" w:cstheme="minorHAnsi"/>
          <w:b/>
          <w:bCs/>
          <w:sz w:val="24"/>
          <w:szCs w:val="28"/>
          <w:lang w:val="en-CA"/>
        </w:rPr>
        <w:t xml:space="preserve">May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p>
    <w:p w14:paraId="6227D248" w14:textId="66FAC09D"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6A2022">
        <w:rPr>
          <w:rFonts w:asciiTheme="minorHAnsi" w:hAnsiTheme="minorHAnsi" w:cstheme="minorHAnsi"/>
          <w:bCs/>
          <w:sz w:val="22"/>
          <w:szCs w:val="22"/>
          <w:lang w:val="en-US"/>
        </w:rPr>
        <w:t>8</w:t>
      </w:r>
      <w:r w:rsidR="007F2629">
        <w:rPr>
          <w:rFonts w:asciiTheme="minorHAnsi" w:hAnsiTheme="minorHAnsi" w:cstheme="minorHAnsi"/>
          <w:bCs/>
          <w:sz w:val="22"/>
          <w:szCs w:val="22"/>
          <w:lang w:val="en-US"/>
        </w:rPr>
        <w:t>.25.2</w:t>
      </w:r>
      <w:r w:rsidR="00963578" w:rsidRPr="00963578">
        <w:rPr>
          <w:rFonts w:asciiTheme="minorHAnsi" w:hAnsiTheme="minorHAnsi" w:cstheme="minorHAnsi"/>
          <w:bCs/>
          <w:sz w:val="22"/>
          <w:szCs w:val="22"/>
          <w:lang w:val="en-US"/>
        </w:rPr>
        <w:t>.1</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51FCE23B"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Title:</w:t>
      </w:r>
      <w:r w:rsidRPr="005B68C1">
        <w:rPr>
          <w:rFonts w:asciiTheme="minorHAnsi" w:hAnsiTheme="minorHAnsi" w:cstheme="minorHAnsi"/>
          <w:sz w:val="22"/>
          <w:szCs w:val="22"/>
          <w:lang w:val="en-CA"/>
        </w:rPr>
        <w:tab/>
      </w:r>
      <w:r w:rsidR="002E2A96" w:rsidRPr="002E2A96">
        <w:rPr>
          <w:rFonts w:asciiTheme="minorHAnsi" w:hAnsiTheme="minorHAnsi" w:cstheme="minorHAnsi"/>
          <w:sz w:val="22"/>
          <w:szCs w:val="22"/>
          <w:lang w:val="en-CA"/>
        </w:rPr>
        <w:t>On LTM general aspects and scenarios</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276591E9" w:rsidR="00E11A4D" w:rsidRPr="00477E60" w:rsidRDefault="00E11A4D" w:rsidP="00D24F68">
      <w:pPr>
        <w:rPr>
          <w:rFonts w:asciiTheme="minorHAnsi" w:hAnsiTheme="minorHAnsi" w:cstheme="minorHAnsi"/>
          <w:sz w:val="22"/>
          <w:lang w:val="en-CA"/>
        </w:rPr>
      </w:pPr>
      <w:r w:rsidRPr="00477E60">
        <w:rPr>
          <w:rFonts w:asciiTheme="minorHAnsi" w:hAnsiTheme="minorHAnsi" w:cstheme="minorHAnsi"/>
          <w:sz w:val="22"/>
          <w:lang w:val="en-CA"/>
        </w:rPr>
        <w:t xml:space="preserve">In this contribution, we provide our views on the </w:t>
      </w:r>
      <w:r w:rsidR="001B6035">
        <w:rPr>
          <w:rFonts w:asciiTheme="minorHAnsi" w:hAnsiTheme="minorHAnsi" w:cstheme="minorHAnsi"/>
          <w:sz w:val="22"/>
          <w:lang w:val="en-CA"/>
        </w:rPr>
        <w:t xml:space="preserve">DL and UL synchronisations </w:t>
      </w:r>
      <w:r w:rsidR="00220472">
        <w:rPr>
          <w:rFonts w:asciiTheme="minorHAnsi" w:hAnsiTheme="minorHAnsi" w:cstheme="minorHAnsi"/>
          <w:sz w:val="22"/>
          <w:lang w:val="en-CA"/>
        </w:rPr>
        <w:t xml:space="preserve">aspects </w:t>
      </w:r>
      <w:r w:rsidR="00AC6F72">
        <w:rPr>
          <w:rFonts w:asciiTheme="minorHAnsi" w:hAnsiTheme="minorHAnsi" w:cstheme="minorHAnsi"/>
          <w:sz w:val="22"/>
          <w:lang w:val="en-CA"/>
        </w:rPr>
        <w:t xml:space="preserve">for </w:t>
      </w:r>
      <w:bookmarkStart w:id="4" w:name="_Hlk110923768"/>
      <w:r w:rsidR="007A3EDB" w:rsidRPr="007A3EDB">
        <w:rPr>
          <w:rFonts w:asciiTheme="minorHAnsi" w:hAnsiTheme="minorHAnsi" w:cstheme="minorHAnsi"/>
          <w:sz w:val="22"/>
          <w:lang w:val="en-CA"/>
        </w:rPr>
        <w:t>L1/L2</w:t>
      </w:r>
      <w:r w:rsidR="00AC6F72">
        <w:rPr>
          <w:rFonts w:asciiTheme="minorHAnsi" w:hAnsiTheme="minorHAnsi" w:cstheme="minorHAnsi"/>
          <w:sz w:val="22"/>
          <w:lang w:val="en-CA"/>
        </w:rPr>
        <w:t xml:space="preserve"> triggered </w:t>
      </w:r>
      <w:r w:rsidR="007A3EDB" w:rsidRPr="007A3EDB">
        <w:rPr>
          <w:rFonts w:asciiTheme="minorHAnsi" w:hAnsiTheme="minorHAnsi" w:cstheme="minorHAnsi"/>
          <w:sz w:val="22"/>
          <w:lang w:val="en-CA"/>
        </w:rPr>
        <w:t>inter-cell mobility</w:t>
      </w:r>
      <w:bookmarkEnd w:id="4"/>
      <w:r w:rsidR="000A461C">
        <w:rPr>
          <w:rFonts w:asciiTheme="minorHAnsi" w:hAnsiTheme="minorHAnsi" w:cstheme="minorHAnsi"/>
          <w:sz w:val="22"/>
          <w:lang w:val="en-CA"/>
        </w:rPr>
        <w:t xml:space="preserve"> (LTM)</w:t>
      </w:r>
      <w:r w:rsidR="00CF681D" w:rsidRPr="00477E60">
        <w:rPr>
          <w:rFonts w:asciiTheme="minorHAnsi" w:hAnsiTheme="minorHAnsi" w:cstheme="minorHAnsi"/>
          <w:sz w:val="22"/>
          <w:lang w:val="en-CA"/>
        </w:rPr>
        <w:t>.</w:t>
      </w:r>
      <w:r w:rsidRPr="00477E60">
        <w:rPr>
          <w:rFonts w:asciiTheme="minorHAnsi" w:hAnsiTheme="minorHAnsi" w:cstheme="minorHAnsi"/>
          <w:sz w:val="22"/>
          <w:lang w:val="en-CA"/>
        </w:rPr>
        <w:t xml:space="preserve"> </w:t>
      </w:r>
    </w:p>
    <w:p w14:paraId="0F573038" w14:textId="77777777" w:rsidR="00D24F68" w:rsidRPr="005B68C1"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26054C14" w14:textId="77777777" w:rsidR="00206DB0" w:rsidRPr="009B0508" w:rsidRDefault="00206DB0" w:rsidP="00206DB0">
      <w:pPr>
        <w:rPr>
          <w:rFonts w:asciiTheme="minorHAnsi" w:hAnsiTheme="minorHAnsi"/>
          <w:sz w:val="22"/>
          <w:szCs w:val="22"/>
        </w:rPr>
      </w:pPr>
      <w:bookmarkStart w:id="5" w:name="_Toc5952573"/>
      <w:r>
        <w:rPr>
          <w:rFonts w:asciiTheme="minorHAnsi" w:hAnsiTheme="minorHAnsi"/>
          <w:sz w:val="22"/>
          <w:szCs w:val="22"/>
        </w:rPr>
        <w:t>In last meeting RAN4 briefly discussed transmit timing requirements. However, we think, RAN4 may need to discuss timing aspects from multiple points of view. In subsequent sections, we discuss timing requirements for different aspects.</w:t>
      </w:r>
    </w:p>
    <w:p w14:paraId="34445B7B" w14:textId="77777777" w:rsidR="00206DB0" w:rsidRPr="009776D2" w:rsidRDefault="00206DB0" w:rsidP="00206DB0">
      <w:pPr>
        <w:pStyle w:val="Heading2"/>
        <w:rPr>
          <w:rFonts w:cs="Arial"/>
          <w:sz w:val="28"/>
          <w:szCs w:val="28"/>
        </w:rPr>
      </w:pPr>
      <w:r>
        <w:rPr>
          <w:rFonts w:cs="Arial"/>
          <w:sz w:val="28"/>
          <w:szCs w:val="28"/>
        </w:rPr>
        <w:t xml:space="preserve">  Pre-synchronisation aspects for early TA establishment  </w:t>
      </w:r>
      <w:r w:rsidRPr="009776D2">
        <w:rPr>
          <w:rFonts w:cs="Arial"/>
          <w:sz w:val="28"/>
          <w:szCs w:val="28"/>
        </w:rPr>
        <w:t xml:space="preserve">  </w:t>
      </w:r>
    </w:p>
    <w:p w14:paraId="3D764AB6" w14:textId="77777777" w:rsidR="00206DB0" w:rsidRDefault="00206DB0" w:rsidP="00206DB0">
      <w:pPr>
        <w:rPr>
          <w:rFonts w:asciiTheme="minorHAnsi" w:hAnsiTheme="minorHAnsi"/>
          <w:sz w:val="22"/>
          <w:szCs w:val="22"/>
        </w:rPr>
      </w:pPr>
      <w:r>
        <w:rPr>
          <w:rFonts w:asciiTheme="minorHAnsi" w:hAnsiTheme="minorHAnsi"/>
          <w:sz w:val="22"/>
          <w:szCs w:val="22"/>
        </w:rPr>
        <w:t xml:space="preserve">In previous meetings, RAN1 agreed to support RACH transmission before the cell switch command and the corresponding RAN1 agreements are shown </w:t>
      </w:r>
      <w:r w:rsidRPr="00140002">
        <w:rPr>
          <w:rFonts w:asciiTheme="minorHAnsi" w:hAnsiTheme="minorHAnsi"/>
          <w:i/>
          <w:iCs/>
          <w:sz w:val="22"/>
          <w:szCs w:val="22"/>
        </w:rPr>
        <w:t>below</w:t>
      </w:r>
      <w:r>
        <w:rPr>
          <w:rFonts w:asciiTheme="minorHAnsi" w:hAnsiTheme="minorHAnsi"/>
          <w:sz w:val="22"/>
          <w:szCs w:val="22"/>
        </w:rPr>
        <w:t>.</w:t>
      </w:r>
    </w:p>
    <w:tbl>
      <w:tblPr>
        <w:tblW w:w="997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0"/>
      </w:tblGrid>
      <w:tr w:rsidR="00206DB0" w14:paraId="0C70E24A" w14:textId="77777777" w:rsidTr="000D3186">
        <w:trPr>
          <w:trHeight w:val="2710"/>
        </w:trPr>
        <w:tc>
          <w:tcPr>
            <w:tcW w:w="9970" w:type="dxa"/>
          </w:tcPr>
          <w:p w14:paraId="7E1CF776" w14:textId="77777777" w:rsidR="00206DB0" w:rsidRPr="00E87228" w:rsidRDefault="00206DB0" w:rsidP="00206DB0">
            <w:pPr>
              <w:pStyle w:val="ListParagraph"/>
              <w:numPr>
                <w:ilvl w:val="0"/>
                <w:numId w:val="43"/>
              </w:numPr>
              <w:shd w:val="clear" w:color="auto" w:fill="FFFFFF"/>
              <w:snapToGrid w:val="0"/>
              <w:spacing w:after="0"/>
              <w:ind w:left="381" w:hanging="357"/>
              <w:contextualSpacing w:val="0"/>
              <w:jc w:val="both"/>
              <w:rPr>
                <w:rFonts w:asciiTheme="minorHAnsi" w:eastAsia="MS PGothic" w:hAnsiTheme="minorHAnsi" w:cstheme="minorHAnsi"/>
                <w:i/>
                <w:iCs/>
                <w:color w:val="000000"/>
                <w:sz w:val="22"/>
                <w:szCs w:val="22"/>
                <w:lang w:val="en-US" w:eastAsia="zh-CN"/>
              </w:rPr>
            </w:pPr>
            <w:r w:rsidRPr="00E87228">
              <w:rPr>
                <w:rFonts w:asciiTheme="minorHAnsi" w:eastAsia="MS PGothic" w:hAnsiTheme="minorHAnsi" w:cstheme="minorHAnsi"/>
                <w:i/>
                <w:iCs/>
                <w:color w:val="000000"/>
                <w:sz w:val="22"/>
                <w:szCs w:val="22"/>
                <w:lang w:val="en-US" w:eastAsia="zh-CN"/>
              </w:rPr>
              <w:t xml:space="preserve">Support </w:t>
            </w:r>
            <w:r w:rsidRPr="00E87228">
              <w:rPr>
                <w:rFonts w:asciiTheme="minorHAnsi" w:hAnsiTheme="minorHAnsi" w:cstheme="minorHAnsi"/>
                <w:i/>
                <w:iCs/>
                <w:color w:val="000000"/>
                <w:sz w:val="22"/>
                <w:szCs w:val="22"/>
                <w:lang w:val="en-US" w:eastAsia="zh-CN"/>
              </w:rPr>
              <w:t>TA</w:t>
            </w:r>
            <w:r w:rsidRPr="00E87228">
              <w:rPr>
                <w:rFonts w:asciiTheme="minorHAnsi" w:eastAsia="MS PGothic" w:hAnsiTheme="minorHAnsi" w:cstheme="minorHAnsi"/>
                <w:i/>
                <w:iCs/>
                <w:color w:val="000000"/>
                <w:sz w:val="22"/>
                <w:szCs w:val="22"/>
                <w:lang w:val="en-US" w:eastAsia="zh-CN"/>
              </w:rPr>
              <w:t xml:space="preserve"> acquisition of candidate cell(s) before cell switch command is received in L1/L2 based mobility.</w:t>
            </w:r>
          </w:p>
          <w:p w14:paraId="384E77C8" w14:textId="77777777" w:rsidR="00206DB0" w:rsidRPr="00E87228" w:rsidRDefault="00206DB0" w:rsidP="00206DB0">
            <w:pPr>
              <w:pStyle w:val="ListParagraph"/>
              <w:numPr>
                <w:ilvl w:val="1"/>
                <w:numId w:val="44"/>
              </w:numPr>
              <w:snapToGrid w:val="0"/>
              <w:spacing w:after="100" w:afterAutospacing="1"/>
              <w:ind w:left="1104"/>
              <w:contextualSpacing w:val="0"/>
              <w:jc w:val="both"/>
              <w:rPr>
                <w:rFonts w:asciiTheme="minorHAnsi" w:eastAsia="MS PGothic" w:hAnsiTheme="minorHAnsi" w:cstheme="minorHAnsi"/>
                <w:i/>
                <w:iCs/>
                <w:sz w:val="22"/>
                <w:szCs w:val="22"/>
                <w:lang w:val="en-US" w:eastAsia="zh-CN"/>
              </w:rPr>
            </w:pPr>
            <w:r w:rsidRPr="00E87228">
              <w:rPr>
                <w:rFonts w:asciiTheme="minorHAnsi" w:eastAsia="MS PGothic" w:hAnsiTheme="minorHAnsi" w:cstheme="minorHAnsi"/>
                <w:i/>
                <w:iCs/>
                <w:sz w:val="22"/>
                <w:szCs w:val="22"/>
                <w:lang w:val="en-US" w:eastAsia="zh-CN"/>
              </w:rPr>
              <w:t xml:space="preserve">FFS: </w:t>
            </w:r>
            <w:r w:rsidRPr="00E87228">
              <w:rPr>
                <w:rFonts w:asciiTheme="minorHAnsi" w:eastAsia="Microsoft YaHei UI" w:hAnsiTheme="minorHAnsi" w:cstheme="minorHAnsi"/>
                <w:i/>
                <w:iCs/>
                <w:sz w:val="22"/>
                <w:szCs w:val="22"/>
              </w:rPr>
              <w:t>whether</w:t>
            </w:r>
            <w:r w:rsidRPr="00E87228">
              <w:rPr>
                <w:rFonts w:asciiTheme="minorHAnsi" w:eastAsia="MS PGothic" w:hAnsiTheme="minorHAnsi" w:cstheme="minorHAnsi"/>
                <w:i/>
                <w:iCs/>
                <w:sz w:val="22"/>
                <w:szCs w:val="22"/>
                <w:lang w:val="en-US" w:eastAsia="zh-CN"/>
              </w:rPr>
              <w:t xml:space="preserve"> this can be applied to candidate cell when it is deactivated SCell (if defined in RAN2)</w:t>
            </w:r>
          </w:p>
          <w:p w14:paraId="35560EB2" w14:textId="77777777" w:rsidR="00206DB0" w:rsidRPr="00E87228" w:rsidRDefault="00206DB0" w:rsidP="00206DB0">
            <w:pPr>
              <w:numPr>
                <w:ilvl w:val="0"/>
                <w:numId w:val="43"/>
              </w:numPr>
              <w:shd w:val="clear" w:color="auto" w:fill="FFFFFF"/>
              <w:snapToGrid w:val="0"/>
              <w:spacing w:after="0"/>
              <w:ind w:left="381" w:hanging="357"/>
              <w:jc w:val="both"/>
              <w:rPr>
                <w:rFonts w:asciiTheme="minorHAnsi" w:hAnsiTheme="minorHAnsi" w:cstheme="minorHAnsi"/>
                <w:i/>
                <w:iCs/>
                <w:color w:val="000000"/>
                <w:sz w:val="22"/>
                <w:szCs w:val="22"/>
                <w:lang w:val="en-US" w:eastAsia="zh-CN"/>
              </w:rPr>
            </w:pPr>
            <w:r w:rsidRPr="00E87228">
              <w:rPr>
                <w:rFonts w:asciiTheme="minorHAnsi" w:hAnsiTheme="minorHAnsi" w:cstheme="minorHAnsi"/>
                <w:i/>
                <w:iCs/>
                <w:color w:val="000000"/>
                <w:sz w:val="22"/>
                <w:szCs w:val="22"/>
                <w:lang w:val="en-US" w:eastAsia="zh-CN"/>
              </w:rPr>
              <w:t xml:space="preserve">On mechanism to </w:t>
            </w:r>
            <w:r w:rsidRPr="00E87228">
              <w:rPr>
                <w:rFonts w:asciiTheme="minorHAnsi" w:eastAsia="Microsoft YaHei UI" w:hAnsiTheme="minorHAnsi" w:cstheme="minorHAnsi"/>
                <w:i/>
                <w:iCs/>
                <w:sz w:val="22"/>
                <w:szCs w:val="22"/>
                <w:lang w:eastAsia="en-GB"/>
              </w:rPr>
              <w:t>acquire</w:t>
            </w:r>
            <w:r w:rsidRPr="00E87228">
              <w:rPr>
                <w:rFonts w:asciiTheme="minorHAnsi" w:hAnsiTheme="minorHAnsi" w:cstheme="minorHAnsi"/>
                <w:i/>
                <w:iCs/>
                <w:color w:val="000000"/>
                <w:sz w:val="22"/>
                <w:szCs w:val="22"/>
                <w:lang w:val="en-US" w:eastAsia="zh-CN"/>
              </w:rPr>
              <w:t xml:space="preserve"> TA of the candidate cell(s) in Rel-18 LTM, at least support PDCCH ordered RACH.</w:t>
            </w:r>
          </w:p>
          <w:p w14:paraId="417E90BD" w14:textId="77777777" w:rsidR="00206DB0" w:rsidRPr="00E87228" w:rsidRDefault="00206DB0" w:rsidP="00206DB0">
            <w:pPr>
              <w:numPr>
                <w:ilvl w:val="1"/>
                <w:numId w:val="44"/>
              </w:numPr>
              <w:snapToGrid w:val="0"/>
              <w:spacing w:after="100" w:afterAutospacing="1"/>
              <w:ind w:left="1104"/>
              <w:jc w:val="both"/>
              <w:rPr>
                <w:rFonts w:asciiTheme="minorHAnsi" w:eastAsia="Microsoft YaHei UI" w:hAnsiTheme="minorHAnsi" w:cstheme="minorHAnsi"/>
                <w:i/>
                <w:iCs/>
                <w:sz w:val="22"/>
                <w:szCs w:val="22"/>
                <w:lang w:eastAsia="en-GB"/>
              </w:rPr>
            </w:pPr>
            <w:r w:rsidRPr="00E87228">
              <w:rPr>
                <w:rFonts w:asciiTheme="minorHAnsi" w:eastAsia="Microsoft YaHei UI" w:hAnsiTheme="minorHAnsi" w:cstheme="minorHAnsi"/>
                <w:i/>
                <w:iCs/>
                <w:sz w:val="22"/>
                <w:szCs w:val="22"/>
                <w:lang w:eastAsia="en-GB"/>
              </w:rPr>
              <w:t>The PDCCH order is only triggered by source cell</w:t>
            </w:r>
          </w:p>
          <w:p w14:paraId="2F8386D7" w14:textId="77777777" w:rsidR="00206DB0" w:rsidRPr="00E87228" w:rsidRDefault="00206DB0" w:rsidP="00206DB0">
            <w:pPr>
              <w:numPr>
                <w:ilvl w:val="1"/>
                <w:numId w:val="44"/>
              </w:numPr>
              <w:snapToGrid w:val="0"/>
              <w:spacing w:after="100" w:afterAutospacing="1"/>
              <w:ind w:left="1104"/>
              <w:jc w:val="both"/>
              <w:rPr>
                <w:rFonts w:asciiTheme="minorHAnsi" w:eastAsia="Microsoft YaHei UI" w:hAnsiTheme="minorHAnsi" w:cstheme="minorHAnsi"/>
                <w:i/>
                <w:iCs/>
                <w:sz w:val="22"/>
                <w:szCs w:val="22"/>
                <w:lang w:eastAsia="en-GB"/>
              </w:rPr>
            </w:pPr>
            <w:r w:rsidRPr="00E87228">
              <w:rPr>
                <w:rFonts w:asciiTheme="minorHAnsi" w:eastAsia="Microsoft YaHei UI" w:hAnsiTheme="minorHAnsi" w:cstheme="minorHAnsi"/>
                <w:i/>
                <w:iCs/>
                <w:sz w:val="22"/>
                <w:szCs w:val="22"/>
                <w:lang w:eastAsia="en-GB"/>
              </w:rPr>
              <w:t>FFS: the details including content of DCI, RACH resource configuration, RAR transmission mechanism, etc.</w:t>
            </w:r>
          </w:p>
          <w:p w14:paraId="63D8BA53" w14:textId="77777777" w:rsidR="00206DB0" w:rsidRPr="00D83B10" w:rsidRDefault="00206DB0" w:rsidP="00206DB0">
            <w:pPr>
              <w:pStyle w:val="ListParagraph"/>
              <w:numPr>
                <w:ilvl w:val="0"/>
                <w:numId w:val="43"/>
              </w:numPr>
              <w:shd w:val="clear" w:color="auto" w:fill="FFFFFF"/>
              <w:snapToGrid w:val="0"/>
              <w:spacing w:after="0"/>
              <w:ind w:left="381" w:hanging="357"/>
              <w:jc w:val="both"/>
              <w:rPr>
                <w:rFonts w:asciiTheme="minorHAnsi" w:eastAsia="MS PGothic" w:hAnsiTheme="minorHAnsi" w:cstheme="minorHAnsi"/>
                <w:i/>
                <w:iCs/>
                <w:color w:val="000000"/>
                <w:sz w:val="22"/>
                <w:szCs w:val="22"/>
                <w:lang w:val="en-US" w:eastAsia="zh-CN"/>
              </w:rPr>
            </w:pPr>
            <w:r w:rsidRPr="00E87228">
              <w:rPr>
                <w:rFonts w:asciiTheme="minorHAnsi" w:eastAsia="Microsoft YaHei UI" w:hAnsiTheme="minorHAnsi" w:cstheme="minorHAnsi"/>
                <w:i/>
                <w:iCs/>
                <w:sz w:val="22"/>
                <w:szCs w:val="22"/>
                <w:lang w:eastAsia="en-GB"/>
              </w:rPr>
              <w:t>Note: any other RACH-based solutions are for discussion separately</w:t>
            </w:r>
          </w:p>
        </w:tc>
      </w:tr>
    </w:tbl>
    <w:p w14:paraId="61A5E615" w14:textId="77777777" w:rsidR="00206DB0" w:rsidRDefault="00206DB0" w:rsidP="00206DB0">
      <w:pPr>
        <w:rPr>
          <w:rFonts w:asciiTheme="minorHAnsi" w:hAnsiTheme="minorHAnsi"/>
          <w:sz w:val="22"/>
          <w:szCs w:val="22"/>
        </w:rPr>
      </w:pPr>
    </w:p>
    <w:p w14:paraId="34788C1F" w14:textId="77777777" w:rsidR="00206DB0" w:rsidRDefault="00206DB0" w:rsidP="00206DB0">
      <w:pPr>
        <w:rPr>
          <w:rFonts w:asciiTheme="minorHAnsi" w:hAnsiTheme="minorHAnsi"/>
          <w:sz w:val="22"/>
          <w:szCs w:val="22"/>
        </w:rPr>
      </w:pPr>
      <w:r>
        <w:rPr>
          <w:rFonts w:asciiTheme="minorHAnsi" w:hAnsiTheme="minorHAnsi"/>
          <w:sz w:val="22"/>
          <w:szCs w:val="22"/>
        </w:rPr>
        <w:t>The challenge of UE transmitting PRACH preamble to candidate cell when connected to a serving cell is that the</w:t>
      </w:r>
      <w:r w:rsidRPr="0075393A">
        <w:rPr>
          <w:rFonts w:asciiTheme="minorHAnsi" w:hAnsiTheme="minorHAnsi"/>
          <w:sz w:val="22"/>
          <w:szCs w:val="22"/>
        </w:rPr>
        <w:t xml:space="preserve"> UE needs to first perform a DL synchronization to one or more SSB(s) of </w:t>
      </w:r>
      <w:r>
        <w:rPr>
          <w:rFonts w:asciiTheme="minorHAnsi" w:hAnsiTheme="minorHAnsi"/>
          <w:sz w:val="22"/>
          <w:szCs w:val="22"/>
        </w:rPr>
        <w:t>the</w:t>
      </w:r>
      <w:r w:rsidRPr="0075393A">
        <w:rPr>
          <w:rFonts w:asciiTheme="minorHAnsi" w:hAnsiTheme="minorHAnsi"/>
          <w:sz w:val="22"/>
          <w:szCs w:val="22"/>
        </w:rPr>
        <w:t xml:space="preserve"> LTM candidate cell</w:t>
      </w:r>
      <w:r>
        <w:rPr>
          <w:rFonts w:asciiTheme="minorHAnsi" w:hAnsiTheme="minorHAnsi"/>
          <w:sz w:val="22"/>
          <w:szCs w:val="22"/>
        </w:rPr>
        <w:t xml:space="preserve">. </w:t>
      </w:r>
    </w:p>
    <w:p w14:paraId="0FA44899" w14:textId="77777777" w:rsidR="00206DB0" w:rsidRDefault="00206DB0" w:rsidP="00206DB0">
      <w:pPr>
        <w:rPr>
          <w:rFonts w:asciiTheme="minorHAnsi" w:hAnsiTheme="minorHAnsi"/>
          <w:sz w:val="22"/>
          <w:szCs w:val="22"/>
        </w:rPr>
      </w:pPr>
      <w:r>
        <w:rPr>
          <w:rFonts w:asciiTheme="minorHAnsi" w:hAnsiTheme="minorHAnsi"/>
          <w:sz w:val="22"/>
          <w:szCs w:val="22"/>
        </w:rPr>
        <w:t xml:space="preserve">In previous RAN1 meeting, RAN1 further agreed that the UE can perform the pre-synchronisation to the candidate cell. However, from the RAN1 agreements the starting point of pre-synchronisation is not clear. </w:t>
      </w:r>
    </w:p>
    <w:p w14:paraId="2C81C610" w14:textId="77777777" w:rsidR="00206DB0" w:rsidRPr="0075393A" w:rsidRDefault="00206DB0" w:rsidP="00206DB0">
      <w:pPr>
        <w:rPr>
          <w:rFonts w:asciiTheme="minorHAnsi" w:hAnsiTheme="minorHAnsi"/>
          <w:sz w:val="22"/>
          <w:szCs w:val="22"/>
        </w:rPr>
      </w:pPr>
      <w:r>
        <w:rPr>
          <w:rFonts w:asciiTheme="minorHAnsi" w:hAnsiTheme="minorHAnsi"/>
          <w:sz w:val="22"/>
          <w:szCs w:val="22"/>
        </w:rPr>
        <w:t xml:space="preserve">We think starting point of pre-synchronisation should be before the UE triggers TA establishment, i.e.., before the UE receiving the PDCCH order for TA establishment. This mainly </w:t>
      </w:r>
      <w:proofErr w:type="gramStart"/>
      <w:r>
        <w:rPr>
          <w:rFonts w:asciiTheme="minorHAnsi" w:hAnsiTheme="minorHAnsi"/>
          <w:sz w:val="22"/>
          <w:szCs w:val="22"/>
        </w:rPr>
        <w:t>due to the fact that</w:t>
      </w:r>
      <w:proofErr w:type="gramEnd"/>
      <w:r>
        <w:rPr>
          <w:rFonts w:asciiTheme="minorHAnsi" w:hAnsiTheme="minorHAnsi"/>
          <w:sz w:val="22"/>
          <w:szCs w:val="22"/>
        </w:rPr>
        <w:t>, in</w:t>
      </w:r>
      <w:r w:rsidRPr="0075393A">
        <w:rPr>
          <w:rFonts w:asciiTheme="minorHAnsi" w:hAnsiTheme="minorHAnsi"/>
          <w:sz w:val="22"/>
          <w:szCs w:val="22"/>
        </w:rPr>
        <w:t xml:space="preserve"> a typical network implementation</w:t>
      </w:r>
      <w:r>
        <w:rPr>
          <w:rFonts w:asciiTheme="minorHAnsi" w:hAnsiTheme="minorHAnsi"/>
          <w:sz w:val="22"/>
          <w:szCs w:val="22"/>
        </w:rPr>
        <w:t xml:space="preserve">, NW </w:t>
      </w:r>
      <w:r w:rsidRPr="0075393A">
        <w:rPr>
          <w:rFonts w:asciiTheme="minorHAnsi" w:hAnsiTheme="minorHAnsi"/>
          <w:sz w:val="22"/>
          <w:szCs w:val="22"/>
        </w:rPr>
        <w:t xml:space="preserve">would only trigger the TA establishment procedure when there is more certainty that a certain LTM candidate is a high potential </w:t>
      </w:r>
      <w:r>
        <w:rPr>
          <w:rFonts w:asciiTheme="minorHAnsi" w:hAnsiTheme="minorHAnsi"/>
          <w:sz w:val="22"/>
          <w:szCs w:val="22"/>
        </w:rPr>
        <w:t xml:space="preserve">target LTM HO. If NW trigger TA establishment too early, it may so happen that the candidate cell may not be the target cell for the HO and UE may have to perform PRACH to many candidate cells. If NW schedules PDCCH order after receiving more certainty regarding the target cell, the TA establishment procedure should be </w:t>
      </w:r>
      <w:r w:rsidRPr="0075393A">
        <w:rPr>
          <w:rFonts w:asciiTheme="minorHAnsi" w:hAnsiTheme="minorHAnsi"/>
          <w:sz w:val="22"/>
          <w:szCs w:val="22"/>
        </w:rPr>
        <w:t xml:space="preserve">as fast as possible, so that the </w:t>
      </w:r>
      <w:r>
        <w:rPr>
          <w:rFonts w:asciiTheme="minorHAnsi" w:hAnsiTheme="minorHAnsi"/>
          <w:sz w:val="22"/>
          <w:szCs w:val="22"/>
        </w:rPr>
        <w:t xml:space="preserve">time difference </w:t>
      </w:r>
      <w:r w:rsidRPr="0075393A">
        <w:rPr>
          <w:rFonts w:asciiTheme="minorHAnsi" w:hAnsiTheme="minorHAnsi"/>
          <w:sz w:val="22"/>
          <w:szCs w:val="22"/>
        </w:rPr>
        <w:t xml:space="preserve">between </w:t>
      </w:r>
      <w:r>
        <w:rPr>
          <w:rFonts w:asciiTheme="minorHAnsi" w:hAnsiTheme="minorHAnsi"/>
          <w:sz w:val="22"/>
          <w:szCs w:val="22"/>
        </w:rPr>
        <w:t xml:space="preserve">the PDCCH order and </w:t>
      </w:r>
      <w:r w:rsidRPr="0075393A">
        <w:rPr>
          <w:rFonts w:asciiTheme="minorHAnsi" w:hAnsiTheme="minorHAnsi"/>
          <w:sz w:val="22"/>
          <w:szCs w:val="22"/>
        </w:rPr>
        <w:t>LTM cell switch is not too close in time</w:t>
      </w:r>
      <w:r>
        <w:rPr>
          <w:rFonts w:asciiTheme="minorHAnsi" w:hAnsiTheme="minorHAnsi"/>
          <w:sz w:val="22"/>
          <w:szCs w:val="22"/>
        </w:rPr>
        <w:t xml:space="preserve">. In worst case if UE is do </w:t>
      </w:r>
      <w:r>
        <w:rPr>
          <w:rFonts w:asciiTheme="minorHAnsi" w:hAnsiTheme="minorHAnsi"/>
          <w:sz w:val="22"/>
          <w:szCs w:val="22"/>
        </w:rPr>
        <w:lastRenderedPageBreak/>
        <w:t xml:space="preserve">not perform pre-synchronisation before receiving the PDCCH order, TA establishment takes longer time and NW may need to schedule RACH based HO and it may cause large interruption for the LTM HO. </w:t>
      </w:r>
    </w:p>
    <w:p w14:paraId="09981B4C" w14:textId="77777777" w:rsidR="00206DB0" w:rsidRDefault="00206DB0" w:rsidP="00206DB0">
      <w:pPr>
        <w:keepNext/>
      </w:pPr>
      <w:r>
        <w:rPr>
          <w:rFonts w:asciiTheme="minorHAnsi" w:hAnsiTheme="minorHAnsi"/>
          <w:noProof/>
          <w:sz w:val="22"/>
          <w:szCs w:val="22"/>
        </w:rPr>
        <w:drawing>
          <wp:inline distT="0" distB="0" distL="0" distR="0" wp14:anchorId="6AB079F3" wp14:editId="0F4356F1">
            <wp:extent cx="5735226" cy="3920078"/>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2378" cy="3924966"/>
                    </a:xfrm>
                    <a:prstGeom prst="rect">
                      <a:avLst/>
                    </a:prstGeom>
                    <a:noFill/>
                  </pic:spPr>
                </pic:pic>
              </a:graphicData>
            </a:graphic>
          </wp:inline>
        </w:drawing>
      </w:r>
    </w:p>
    <w:p w14:paraId="2B5BF107" w14:textId="77777777" w:rsidR="00206DB0" w:rsidRPr="00325BE0" w:rsidRDefault="00206DB0" w:rsidP="00206DB0">
      <w:pPr>
        <w:pStyle w:val="Caption"/>
        <w:jc w:val="center"/>
        <w:rPr>
          <w:rFonts w:asciiTheme="minorHAnsi" w:hAnsiTheme="minorHAnsi"/>
          <w:b w:val="0"/>
          <w:bCs/>
          <w:sz w:val="22"/>
          <w:szCs w:val="22"/>
        </w:rPr>
      </w:pPr>
      <w:r w:rsidRPr="00325BE0">
        <w:rPr>
          <w:b w:val="0"/>
          <w:bCs/>
        </w:rPr>
        <w:t xml:space="preserve">Figure </w:t>
      </w:r>
      <w:r w:rsidRPr="00325BE0">
        <w:rPr>
          <w:b w:val="0"/>
          <w:bCs/>
        </w:rPr>
        <w:fldChar w:fldCharType="begin"/>
      </w:r>
      <w:r w:rsidRPr="00325BE0">
        <w:rPr>
          <w:b w:val="0"/>
          <w:bCs/>
        </w:rPr>
        <w:instrText xml:space="preserve"> SEQ Figure \* ARABIC </w:instrText>
      </w:r>
      <w:r w:rsidRPr="00325BE0">
        <w:rPr>
          <w:b w:val="0"/>
          <w:bCs/>
        </w:rPr>
        <w:fldChar w:fldCharType="separate"/>
      </w:r>
      <w:r w:rsidRPr="00325BE0">
        <w:rPr>
          <w:b w:val="0"/>
          <w:bCs/>
          <w:noProof/>
        </w:rPr>
        <w:t>1</w:t>
      </w:r>
      <w:r w:rsidRPr="00325BE0">
        <w:rPr>
          <w:b w:val="0"/>
          <w:bCs/>
        </w:rPr>
        <w:fldChar w:fldCharType="end"/>
      </w:r>
      <w:r w:rsidRPr="00325BE0">
        <w:rPr>
          <w:b w:val="0"/>
          <w:bCs/>
        </w:rPr>
        <w:t>: NW triggering TA establishment earlier</w:t>
      </w:r>
    </w:p>
    <w:p w14:paraId="013A58C9" w14:textId="77777777" w:rsidR="00206DB0" w:rsidRDefault="00206DB0" w:rsidP="00206DB0">
      <w:pPr>
        <w:rPr>
          <w:rFonts w:asciiTheme="minorHAnsi" w:hAnsiTheme="minorHAnsi"/>
          <w:sz w:val="22"/>
          <w:szCs w:val="22"/>
        </w:rPr>
      </w:pPr>
    </w:p>
    <w:p w14:paraId="366CD62F" w14:textId="77777777" w:rsidR="00206DB0" w:rsidRDefault="00206DB0" w:rsidP="00206DB0">
      <w:pPr>
        <w:rPr>
          <w:rFonts w:asciiTheme="minorHAnsi" w:hAnsiTheme="minorHAnsi"/>
          <w:sz w:val="22"/>
          <w:szCs w:val="22"/>
        </w:rPr>
      </w:pPr>
      <w:r>
        <w:rPr>
          <w:rFonts w:asciiTheme="minorHAnsi" w:hAnsiTheme="minorHAnsi"/>
          <w:sz w:val="22"/>
          <w:szCs w:val="22"/>
        </w:rPr>
        <w:t xml:space="preserve">In our understanding TA establishment can be faster if UE performs pre-sync with the target cell and be able to perform RACH transmission as early as UE receive the PDCCH order (i.e., on the first RACH occasion after the PDCCH order reception). Thus, DL pre-sync could start with LTM candidate(s) when the UE is configured with TA establishment. In last meeting RAN2 agreed on following. </w:t>
      </w:r>
    </w:p>
    <w:p w14:paraId="0861A7A3" w14:textId="77777777" w:rsidR="00206DB0" w:rsidRDefault="00206DB0" w:rsidP="00206DB0">
      <w:pPr>
        <w:pStyle w:val="Agreement"/>
        <w:tabs>
          <w:tab w:val="clear" w:pos="1069"/>
          <w:tab w:val="num" w:pos="1619"/>
        </w:tabs>
        <w:spacing w:after="0" w:line="240" w:lineRule="auto"/>
        <w:ind w:left="1619"/>
      </w:pPr>
      <w:r>
        <w:t xml:space="preserve">RRC RACH configuration for early TA </w:t>
      </w:r>
      <w:bookmarkStart w:id="6" w:name="_Hlk134630321"/>
      <w:r>
        <w:t xml:space="preserve">acquisition </w:t>
      </w:r>
      <w:bookmarkEnd w:id="6"/>
      <w:r>
        <w:t>(e.g., including whether RAR needs to be received) is specific per target cell and is signalled separately (separate IEs) from the candidate cell configuration (the part that need to be applied at cell switch).</w:t>
      </w:r>
    </w:p>
    <w:p w14:paraId="2568E000" w14:textId="77777777" w:rsidR="00206DB0" w:rsidRDefault="00206DB0" w:rsidP="00206DB0">
      <w:pPr>
        <w:rPr>
          <w:rFonts w:asciiTheme="minorHAnsi" w:hAnsiTheme="minorHAnsi"/>
          <w:sz w:val="22"/>
          <w:szCs w:val="22"/>
        </w:rPr>
      </w:pPr>
    </w:p>
    <w:p w14:paraId="436613ED" w14:textId="77777777" w:rsidR="00206DB0" w:rsidRPr="000352F2" w:rsidRDefault="00206DB0" w:rsidP="00206DB0">
      <w:pPr>
        <w:pStyle w:val="ListParagraph"/>
        <w:numPr>
          <w:ilvl w:val="0"/>
          <w:numId w:val="28"/>
        </w:numPr>
        <w:spacing w:after="120"/>
        <w:rPr>
          <w:rFonts w:asciiTheme="minorHAnsi" w:hAnsiTheme="minorHAnsi"/>
          <w:sz w:val="22"/>
          <w:szCs w:val="22"/>
        </w:rPr>
      </w:pPr>
      <w:r w:rsidRPr="000352F2">
        <w:rPr>
          <w:rFonts w:asciiTheme="minorHAnsi" w:hAnsiTheme="minorHAnsi"/>
          <w:sz w:val="22"/>
          <w:szCs w:val="22"/>
        </w:rPr>
        <w:t>RAN4 to agree that UE starts performing DL pre-sync with LTM candidates when UE configured with early TA acquisition or reception of configuration for early TA acquisition.</w:t>
      </w:r>
    </w:p>
    <w:p w14:paraId="3E174037" w14:textId="77777777" w:rsidR="00206DB0" w:rsidRDefault="00206DB0" w:rsidP="00206DB0">
      <w:pPr>
        <w:rPr>
          <w:rFonts w:asciiTheme="minorHAnsi" w:hAnsiTheme="minorHAnsi"/>
          <w:sz w:val="22"/>
          <w:szCs w:val="22"/>
        </w:rPr>
      </w:pPr>
      <w:r w:rsidRPr="0075393A">
        <w:rPr>
          <w:rFonts w:asciiTheme="minorHAnsi" w:hAnsiTheme="minorHAnsi"/>
          <w:sz w:val="22"/>
          <w:szCs w:val="22"/>
        </w:rPr>
        <w:t xml:space="preserve">Another potential issue in LTM, when it comes to the </w:t>
      </w:r>
      <w:r>
        <w:rPr>
          <w:rFonts w:asciiTheme="minorHAnsi" w:hAnsiTheme="minorHAnsi"/>
          <w:sz w:val="22"/>
          <w:szCs w:val="22"/>
        </w:rPr>
        <w:t xml:space="preserve">performing pre-sync with </w:t>
      </w:r>
      <w:r w:rsidRPr="0075393A">
        <w:rPr>
          <w:rFonts w:asciiTheme="minorHAnsi" w:hAnsiTheme="minorHAnsi"/>
          <w:sz w:val="22"/>
          <w:szCs w:val="22"/>
        </w:rPr>
        <w:t xml:space="preserve">one or more LTM candidate cell, is that the UE may be configured with multiple LTM candidate cells as the potential target cells. Based on the measurement reports from the UE, NW may configure the UE to be handed over to one of the candidate cells. Though UE could measure multiple cells, UE may not be able to maintain the DL synchronization with all the candidate cells as it may result in higher UE complexity and cost. </w:t>
      </w:r>
      <w:r>
        <w:rPr>
          <w:rFonts w:asciiTheme="minorHAnsi" w:hAnsiTheme="minorHAnsi"/>
          <w:sz w:val="22"/>
          <w:szCs w:val="22"/>
        </w:rPr>
        <w:t xml:space="preserve">When NW configures UE with multiple cells for TA establishment, we think RAN4 should discuss the downlink synchronisation aspects for the UE to enable this transmission of PRACH as early as possible after receiving the PDCCH order. When NW configures UE with multiple cells for TA establishment configuration, RAN4 should discuss whether any UE capability is needed on the number of cells for which UE can maintain DL pre-synchronisation. </w:t>
      </w:r>
    </w:p>
    <w:p w14:paraId="1D076502" w14:textId="77777777" w:rsidR="00206DB0" w:rsidRPr="000352F2" w:rsidRDefault="00206DB0" w:rsidP="00206DB0">
      <w:pPr>
        <w:pStyle w:val="ListParagraph"/>
        <w:numPr>
          <w:ilvl w:val="0"/>
          <w:numId w:val="28"/>
        </w:numPr>
        <w:spacing w:after="120"/>
        <w:rPr>
          <w:rFonts w:asciiTheme="minorHAnsi" w:hAnsiTheme="minorHAnsi"/>
          <w:sz w:val="22"/>
          <w:szCs w:val="22"/>
        </w:rPr>
      </w:pPr>
      <w:r w:rsidRPr="000352F2">
        <w:rPr>
          <w:rFonts w:asciiTheme="minorHAnsi" w:hAnsiTheme="minorHAnsi"/>
          <w:sz w:val="22"/>
          <w:szCs w:val="22"/>
        </w:rPr>
        <w:lastRenderedPageBreak/>
        <w:t>RAN4 to discuss the UE capability aspects of downlink synchronisation to multiple cells so that UE can transmit PRACH to the candidate cell on the first PRACH occasion after the PDCCH order reception.</w:t>
      </w:r>
    </w:p>
    <w:p w14:paraId="227B2664" w14:textId="77777777" w:rsidR="00206DB0" w:rsidRDefault="00206DB0" w:rsidP="00206DB0">
      <w:pPr>
        <w:rPr>
          <w:rFonts w:asciiTheme="minorHAnsi" w:hAnsiTheme="minorHAnsi"/>
          <w:sz w:val="22"/>
          <w:szCs w:val="22"/>
        </w:rPr>
      </w:pPr>
      <w:r>
        <w:rPr>
          <w:rFonts w:asciiTheme="minorHAnsi" w:hAnsiTheme="minorHAnsi"/>
          <w:sz w:val="22"/>
          <w:szCs w:val="22"/>
        </w:rPr>
        <w:t xml:space="preserve">In some scenarios the UE may not be configured with TA establishment i.e., the UE receives the LTM configuration for one or more LTM candidate(s). In that case, LTM cell switch for these candidates is either expected to be RACH-less (in case candidates are synchronized with serving cell(s)) or based on random access. In both cases the UE would still benefit from performing DL pre-sync. Thus, when TA establishment is not configured, the UE performs DL pre-sync when it receives the LTM configuration.  </w:t>
      </w:r>
    </w:p>
    <w:p w14:paraId="6F9E707A" w14:textId="697C9016" w:rsidR="00EF234B" w:rsidRPr="000352F2" w:rsidRDefault="00206DB0" w:rsidP="00206DB0">
      <w:pPr>
        <w:pStyle w:val="ListParagraph"/>
        <w:numPr>
          <w:ilvl w:val="0"/>
          <w:numId w:val="28"/>
        </w:numPr>
        <w:spacing w:after="120"/>
        <w:rPr>
          <w:rFonts w:asciiTheme="minorHAnsi" w:hAnsiTheme="minorHAnsi" w:cstheme="minorHAnsi"/>
          <w:sz w:val="24"/>
          <w:szCs w:val="24"/>
        </w:rPr>
      </w:pPr>
      <w:r w:rsidRPr="000352F2">
        <w:rPr>
          <w:rFonts w:asciiTheme="minorHAnsi" w:hAnsiTheme="minorHAnsi"/>
          <w:sz w:val="22"/>
          <w:szCs w:val="22"/>
        </w:rPr>
        <w:t>When TA establishment is not configured, the UE performs DL pre-sync with LTM candidates when configured with LTM for LTM cell switch.</w:t>
      </w:r>
    </w:p>
    <w:p w14:paraId="7E766F25" w14:textId="15B4AA36" w:rsidR="006837B0" w:rsidRPr="002944A8" w:rsidRDefault="004716DA" w:rsidP="002944A8">
      <w:pPr>
        <w:rPr>
          <w:rFonts w:asciiTheme="minorHAnsi" w:hAnsiTheme="minorHAnsi" w:cstheme="minorHAnsi"/>
          <w:bCs/>
          <w:sz w:val="24"/>
          <w:szCs w:val="24"/>
        </w:rPr>
      </w:pPr>
      <w:r w:rsidRPr="002944A8">
        <w:rPr>
          <w:rFonts w:asciiTheme="minorHAnsi" w:hAnsiTheme="minorHAnsi" w:cstheme="minorHAnsi"/>
          <w:bCs/>
          <w:sz w:val="24"/>
          <w:szCs w:val="24"/>
        </w:rPr>
        <w:t xml:space="preserve"> </w:t>
      </w:r>
      <w:r w:rsidR="00FA28ED" w:rsidRPr="002944A8">
        <w:rPr>
          <w:rFonts w:asciiTheme="minorHAnsi" w:hAnsiTheme="minorHAnsi" w:cstheme="minorHAnsi"/>
          <w:bCs/>
          <w:sz w:val="24"/>
          <w:szCs w:val="24"/>
        </w:rPr>
        <w:t xml:space="preserve"> </w:t>
      </w:r>
    </w:p>
    <w:bookmarkEnd w:id="5"/>
    <w:p w14:paraId="704715B3" w14:textId="77777777" w:rsidR="00D24F68" w:rsidRPr="005B68C1" w:rsidRDefault="00D24F68" w:rsidP="00D24F68">
      <w:pPr>
        <w:pStyle w:val="Heading1"/>
        <w:ind w:left="431" w:hanging="431"/>
        <w:rPr>
          <w:rFonts w:asciiTheme="minorHAnsi" w:hAnsiTheme="minorHAnsi" w:cstheme="minorHAnsi"/>
          <w:szCs w:val="36"/>
          <w:lang w:val="en-CA"/>
        </w:rPr>
      </w:pPr>
      <w:r w:rsidRPr="005B68C1">
        <w:rPr>
          <w:rFonts w:asciiTheme="minorHAnsi" w:hAnsiTheme="minorHAnsi" w:cstheme="minorHAnsi"/>
          <w:szCs w:val="36"/>
          <w:lang w:val="en-CA"/>
        </w:rPr>
        <w:t>Summary and Conclusion</w:t>
      </w:r>
    </w:p>
    <w:p w14:paraId="7218585B" w14:textId="2213626B" w:rsidR="00D24F68" w:rsidRPr="006A46DB" w:rsidRDefault="00D24F68" w:rsidP="00D24F68">
      <w:pPr>
        <w:rPr>
          <w:rFonts w:asciiTheme="minorHAnsi" w:hAnsiTheme="minorHAnsi"/>
          <w:b/>
          <w:bCs/>
          <w:sz w:val="22"/>
          <w:szCs w:val="22"/>
        </w:rPr>
      </w:pPr>
      <w:r w:rsidRPr="006A46DB">
        <w:rPr>
          <w:rFonts w:asciiTheme="minorHAnsi" w:hAnsiTheme="minorHAnsi" w:cstheme="minorHAnsi"/>
          <w:sz w:val="24"/>
          <w:szCs w:val="22"/>
          <w:lang w:val="en-CA"/>
        </w:rPr>
        <w:t xml:space="preserve">In this contribution we have analysed </w:t>
      </w:r>
      <w:r w:rsidR="00985DA5" w:rsidRPr="006A46DB">
        <w:rPr>
          <w:rFonts w:asciiTheme="minorHAnsi" w:hAnsiTheme="minorHAnsi" w:cstheme="minorHAnsi"/>
          <w:sz w:val="24"/>
          <w:szCs w:val="22"/>
          <w:lang w:val="en-CA"/>
        </w:rPr>
        <w:t xml:space="preserve">RAN4 aspects for L1/L2 based inter-cell mobility </w:t>
      </w:r>
      <w:r w:rsidRPr="006A46DB">
        <w:rPr>
          <w:rFonts w:asciiTheme="minorHAnsi" w:hAnsiTheme="minorHAnsi" w:cstheme="minorHAnsi"/>
          <w:sz w:val="24"/>
          <w:szCs w:val="22"/>
          <w:lang w:val="en-CA"/>
        </w:rPr>
        <w:t>and made following proposals.</w:t>
      </w:r>
      <w:r w:rsidRPr="006A46DB">
        <w:rPr>
          <w:rFonts w:asciiTheme="minorHAnsi" w:hAnsiTheme="minorHAnsi"/>
          <w:b/>
          <w:bCs/>
          <w:sz w:val="22"/>
          <w:szCs w:val="22"/>
        </w:rPr>
        <w:t xml:space="preserve"> </w:t>
      </w:r>
    </w:p>
    <w:p w14:paraId="654C9CBA" w14:textId="74783E65" w:rsidR="003A247F" w:rsidRPr="00E1162D" w:rsidRDefault="00E8329F" w:rsidP="003A247F">
      <w:pPr>
        <w:pStyle w:val="ListParagraph"/>
        <w:numPr>
          <w:ilvl w:val="0"/>
          <w:numId w:val="34"/>
        </w:numPr>
        <w:rPr>
          <w:rFonts w:asciiTheme="minorHAnsi" w:hAnsiTheme="minorHAnsi" w:cstheme="minorHAnsi"/>
          <w:sz w:val="24"/>
          <w:szCs w:val="24"/>
        </w:rPr>
      </w:pPr>
      <w:r w:rsidRPr="00E1162D">
        <w:rPr>
          <w:rFonts w:asciiTheme="minorHAnsi" w:hAnsiTheme="minorHAnsi"/>
          <w:sz w:val="22"/>
          <w:szCs w:val="22"/>
        </w:rPr>
        <w:t>RAN4 to agree that UE starts performing DL pre-sync with LTM candidates when UE configured with early TA acquisition or reception of configuration for early TA acquisition.</w:t>
      </w:r>
    </w:p>
    <w:p w14:paraId="1C5182FA" w14:textId="34A3A63D" w:rsidR="00E8329F" w:rsidRPr="00E1162D" w:rsidRDefault="00E8329F" w:rsidP="003A247F">
      <w:pPr>
        <w:pStyle w:val="ListParagraph"/>
        <w:numPr>
          <w:ilvl w:val="0"/>
          <w:numId w:val="34"/>
        </w:numPr>
        <w:rPr>
          <w:rFonts w:asciiTheme="minorHAnsi" w:hAnsiTheme="minorHAnsi" w:cstheme="minorHAnsi"/>
          <w:sz w:val="24"/>
          <w:szCs w:val="24"/>
        </w:rPr>
      </w:pPr>
      <w:r w:rsidRPr="00E1162D">
        <w:rPr>
          <w:rFonts w:asciiTheme="minorHAnsi" w:hAnsiTheme="minorHAnsi"/>
          <w:sz w:val="22"/>
          <w:szCs w:val="22"/>
        </w:rPr>
        <w:t>RAN4 to discuss the UE capability aspects of downlink synchronisation to multiple cells so that UE can transmit PRACH to the candidate cell on the first PRACH occasion after the PDCCH order reception.</w:t>
      </w:r>
    </w:p>
    <w:p w14:paraId="361CC9EC" w14:textId="541BC066" w:rsidR="00E8329F" w:rsidRPr="00E1162D" w:rsidRDefault="00E8329F" w:rsidP="003A247F">
      <w:pPr>
        <w:pStyle w:val="ListParagraph"/>
        <w:numPr>
          <w:ilvl w:val="0"/>
          <w:numId w:val="34"/>
        </w:numPr>
        <w:rPr>
          <w:rFonts w:asciiTheme="minorHAnsi" w:hAnsiTheme="minorHAnsi" w:cstheme="minorHAnsi"/>
          <w:sz w:val="24"/>
          <w:szCs w:val="24"/>
        </w:rPr>
      </w:pPr>
      <w:r w:rsidRPr="00E1162D">
        <w:rPr>
          <w:rFonts w:asciiTheme="minorHAnsi" w:hAnsiTheme="minorHAnsi"/>
          <w:sz w:val="22"/>
          <w:szCs w:val="22"/>
        </w:rPr>
        <w:t>When TA establishment is not configured, the UE performs DL pre-sync with LTM candidates when configured with LTM for LTM cell switch.</w:t>
      </w:r>
    </w:p>
    <w:p w14:paraId="198D5ED2" w14:textId="77777777"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7" w:name="_Ref536781364"/>
      <w:bookmarkStart w:id="8" w:name="_Ref517094573"/>
      <w:bookmarkStart w:id="9" w:name="_Ref536781239"/>
      <w:bookmarkEnd w:id="2"/>
      <w:bookmarkEnd w:id="3"/>
    </w:p>
    <w:bookmarkEnd w:id="7"/>
    <w:bookmarkEnd w:id="8"/>
    <w:bookmarkEnd w:id="9"/>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73B5757D" w14:textId="64BD4AFF" w:rsidR="006D19BC" w:rsidRPr="000615DA" w:rsidRDefault="006D19BC" w:rsidP="000615DA">
      <w:pPr>
        <w:pStyle w:val="ListParagraph"/>
        <w:numPr>
          <w:ilvl w:val="0"/>
          <w:numId w:val="9"/>
        </w:numPr>
        <w:rPr>
          <w:rFonts w:asciiTheme="minorHAnsi" w:hAnsiTheme="minorHAnsi" w:cstheme="minorHAnsi"/>
          <w:sz w:val="22"/>
          <w:szCs w:val="22"/>
          <w:lang w:val="en-CA"/>
        </w:rPr>
      </w:pPr>
      <w:r>
        <w:rPr>
          <w:rFonts w:asciiTheme="minorHAnsi" w:hAnsiTheme="minorHAnsi" w:cstheme="minorHAnsi"/>
          <w:sz w:val="22"/>
          <w:szCs w:val="22"/>
          <w:lang w:val="en-CA"/>
        </w:rPr>
        <w:t>R2-2</w:t>
      </w:r>
      <w:r w:rsidR="00F1446E">
        <w:rPr>
          <w:rFonts w:asciiTheme="minorHAnsi" w:hAnsiTheme="minorHAnsi" w:cstheme="minorHAnsi"/>
          <w:sz w:val="22"/>
          <w:szCs w:val="22"/>
          <w:lang w:val="en-CA"/>
        </w:rPr>
        <w:t>303175</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0D4ED" w14:textId="77777777" w:rsidR="00631AFA" w:rsidRDefault="00631AFA">
      <w:r>
        <w:separator/>
      </w:r>
    </w:p>
  </w:endnote>
  <w:endnote w:type="continuationSeparator" w:id="0">
    <w:p w14:paraId="4D4FABCF" w14:textId="77777777" w:rsidR="00631AFA" w:rsidRDefault="00631AFA">
      <w:r>
        <w:continuationSeparator/>
      </w:r>
    </w:p>
  </w:endnote>
  <w:endnote w:type="continuationNotice" w:id="1">
    <w:p w14:paraId="19995824" w14:textId="77777777" w:rsidR="00631AFA" w:rsidRDefault="00631A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98AF2" w14:textId="77777777" w:rsidR="00631AFA" w:rsidRDefault="00631AFA">
      <w:r>
        <w:separator/>
      </w:r>
    </w:p>
  </w:footnote>
  <w:footnote w:type="continuationSeparator" w:id="0">
    <w:p w14:paraId="05DC7F83" w14:textId="77777777" w:rsidR="00631AFA" w:rsidRDefault="00631AFA">
      <w:r>
        <w:continuationSeparator/>
      </w:r>
    </w:p>
  </w:footnote>
  <w:footnote w:type="continuationNotice" w:id="1">
    <w:p w14:paraId="67D05007" w14:textId="77777777" w:rsidR="00631AFA" w:rsidRDefault="00631A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C65095"/>
    <w:multiLevelType w:val="multilevel"/>
    <w:tmpl w:val="406036C4"/>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6321665"/>
    <w:multiLevelType w:val="hybridMultilevel"/>
    <w:tmpl w:val="8B0243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02A05FD"/>
    <w:multiLevelType w:val="hybridMultilevel"/>
    <w:tmpl w:val="D368F7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5274CFC"/>
    <w:multiLevelType w:val="hybridMultilevel"/>
    <w:tmpl w:val="C61812A4"/>
    <w:lvl w:ilvl="0" w:tplc="67CA3B0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3" w15:restartNumberingAfterBreak="0">
    <w:nsid w:val="37B31DC3"/>
    <w:multiLevelType w:val="hybridMultilevel"/>
    <w:tmpl w:val="150230FC"/>
    <w:lvl w:ilvl="0" w:tplc="A8A0848E">
      <w:start w:val="1"/>
      <w:numFmt w:val="decimal"/>
      <w:lvlText w:val="Proposal %1: "/>
      <w:lvlJc w:val="left"/>
      <w:pPr>
        <w:ind w:left="720" w:hanging="360"/>
      </w:pPr>
      <w:rPr>
        <w:rFonts w:cs="Times New Roman" w:hint="default"/>
        <w:b/>
        <w:i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A0E57C4"/>
    <w:multiLevelType w:val="hybridMultilevel"/>
    <w:tmpl w:val="81566152"/>
    <w:lvl w:ilvl="0" w:tplc="6ECC1CB8">
      <w:start w:val="4"/>
      <w:numFmt w:val="bullet"/>
      <w:lvlText w:val="-"/>
      <w:lvlJc w:val="left"/>
      <w:pPr>
        <w:ind w:left="420" w:hanging="420"/>
      </w:pPr>
      <w:rPr>
        <w:rFonts w:ascii="Yu Gothic" w:eastAsia="Yu Gothic" w:hAnsi="Yu Gothic" w:cs="MS PGothic" w:hint="eastAsia"/>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477464E6"/>
    <w:multiLevelType w:val="hybridMultilevel"/>
    <w:tmpl w:val="12F46A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4B1F283C"/>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50546626"/>
    <w:multiLevelType w:val="hybridMultilevel"/>
    <w:tmpl w:val="13C4A690"/>
    <w:lvl w:ilvl="0" w:tplc="8C980E04">
      <w:numFmt w:val="bullet"/>
      <w:lvlText w:val="-"/>
      <w:lvlJc w:val="left"/>
      <w:pPr>
        <w:ind w:left="216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754004B"/>
    <w:multiLevelType w:val="multilevel"/>
    <w:tmpl w:val="CF42A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8" w15:restartNumberingAfterBreak="0">
    <w:nsid w:val="5B575728"/>
    <w:multiLevelType w:val="hybridMultilevel"/>
    <w:tmpl w:val="D7FEDFE4"/>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C7B2D65"/>
    <w:multiLevelType w:val="hybridMultilevel"/>
    <w:tmpl w:val="61A2DEF6"/>
    <w:lvl w:ilvl="0" w:tplc="0419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3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2C71936"/>
    <w:multiLevelType w:val="multilevel"/>
    <w:tmpl w:val="89421446"/>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Theme="minorHAnsi" w:hAnsiTheme="minorHAnsi" w:cstheme="minorHAnsi"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8"/>
        <w:szCs w:val="20"/>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9B03013"/>
    <w:multiLevelType w:val="hybridMultilevel"/>
    <w:tmpl w:val="30E059CC"/>
    <w:lvl w:ilvl="0" w:tplc="25D4A5F2">
      <w:numFmt w:val="bullet"/>
      <w:lvlText w:val="-"/>
      <w:lvlJc w:val="left"/>
      <w:pPr>
        <w:ind w:left="360" w:hanging="360"/>
      </w:pPr>
      <w:rPr>
        <w:rFonts w:ascii="Arial" w:eastAsia="MS Mincho"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AA67BF0"/>
    <w:multiLevelType w:val="hybridMultilevel"/>
    <w:tmpl w:val="91C2295E"/>
    <w:lvl w:ilvl="0" w:tplc="F102836E">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19012505">
    <w:abstractNumId w:val="29"/>
  </w:num>
  <w:num w:numId="2" w16cid:durableId="575632203">
    <w:abstractNumId w:val="39"/>
  </w:num>
  <w:num w:numId="3" w16cid:durableId="1644773637">
    <w:abstractNumId w:val="36"/>
  </w:num>
  <w:num w:numId="4" w16cid:durableId="1568686257">
    <w:abstractNumId w:val="16"/>
  </w:num>
  <w:num w:numId="5" w16cid:durableId="1785804881">
    <w:abstractNumId w:val="19"/>
  </w:num>
  <w:num w:numId="6" w16cid:durableId="461194499">
    <w:abstractNumId w:val="2"/>
  </w:num>
  <w:num w:numId="7" w16cid:durableId="414863606">
    <w:abstractNumId w:val="1"/>
  </w:num>
  <w:num w:numId="8" w16cid:durableId="130753448">
    <w:abstractNumId w:val="40"/>
  </w:num>
  <w:num w:numId="9" w16cid:durableId="578953281">
    <w:abstractNumId w:val="27"/>
  </w:num>
  <w:num w:numId="10" w16cid:durableId="1230724704">
    <w:abstractNumId w:val="33"/>
  </w:num>
  <w:num w:numId="11" w16cid:durableId="2030065520">
    <w:abstractNumId w:val="9"/>
  </w:num>
  <w:num w:numId="12" w16cid:durableId="1534347460">
    <w:abstractNumId w:val="0"/>
  </w:num>
  <w:num w:numId="13" w16cid:durableId="643050380">
    <w:abstractNumId w:val="18"/>
  </w:num>
  <w:num w:numId="14" w16cid:durableId="990791191">
    <w:abstractNumId w:val="34"/>
  </w:num>
  <w:num w:numId="15" w16cid:durableId="718438058">
    <w:abstractNumId w:val="26"/>
  </w:num>
  <w:num w:numId="16" w16cid:durableId="377241176">
    <w:abstractNumId w:val="23"/>
  </w:num>
  <w:num w:numId="17" w16cid:durableId="57292847">
    <w:abstractNumId w:val="4"/>
  </w:num>
  <w:num w:numId="18" w16cid:durableId="907567861">
    <w:abstractNumId w:val="32"/>
  </w:num>
  <w:num w:numId="19" w16cid:durableId="171068976">
    <w:abstractNumId w:val="5"/>
  </w:num>
  <w:num w:numId="20" w16cid:durableId="1329017340">
    <w:abstractNumId w:val="14"/>
  </w:num>
  <w:num w:numId="21" w16cid:durableId="1128400250">
    <w:abstractNumId w:val="11"/>
  </w:num>
  <w:num w:numId="22" w16cid:durableId="544219051">
    <w:abstractNumId w:val="20"/>
  </w:num>
  <w:num w:numId="23" w16cid:durableId="174541967">
    <w:abstractNumId w:val="31"/>
  </w:num>
  <w:num w:numId="24" w16cid:durableId="1689915668">
    <w:abstractNumId w:val="8"/>
  </w:num>
  <w:num w:numId="25" w16cid:durableId="1848250377">
    <w:abstractNumId w:val="30"/>
  </w:num>
  <w:num w:numId="26" w16cid:durableId="338968474">
    <w:abstractNumId w:val="25"/>
  </w:num>
  <w:num w:numId="27" w16cid:durableId="196084866">
    <w:abstractNumId w:val="36"/>
  </w:num>
  <w:num w:numId="28" w16cid:durableId="2024934073">
    <w:abstractNumId w:val="12"/>
  </w:num>
  <w:num w:numId="29" w16cid:durableId="1971475873">
    <w:abstractNumId w:val="13"/>
  </w:num>
  <w:num w:numId="30" w16cid:durableId="1971327981">
    <w:abstractNumId w:val="22"/>
  </w:num>
  <w:num w:numId="31" w16cid:durableId="1801342642">
    <w:abstractNumId w:val="6"/>
  </w:num>
  <w:num w:numId="32" w16cid:durableId="1005283072">
    <w:abstractNumId w:val="24"/>
  </w:num>
  <w:num w:numId="33" w16cid:durableId="1319960610">
    <w:abstractNumId w:val="21"/>
  </w:num>
  <w:num w:numId="34" w16cid:durableId="1654989648">
    <w:abstractNumId w:val="10"/>
  </w:num>
  <w:num w:numId="35" w16cid:durableId="626357208">
    <w:abstractNumId w:val="17"/>
  </w:num>
  <w:num w:numId="36" w16cid:durableId="333841697">
    <w:abstractNumId w:val="28"/>
  </w:num>
  <w:num w:numId="37" w16cid:durableId="1508448828">
    <w:abstractNumId w:val="38"/>
  </w:num>
  <w:num w:numId="38" w16cid:durableId="114326873">
    <w:abstractNumId w:val="3"/>
  </w:num>
  <w:num w:numId="39" w16cid:durableId="2146240837">
    <w:abstractNumId w:val="7"/>
  </w:num>
  <w:num w:numId="40" w16cid:durableId="931355759">
    <w:abstractNumId w:val="34"/>
  </w:num>
  <w:num w:numId="41" w16cid:durableId="1628004918">
    <w:abstractNumId w:val="15"/>
  </w:num>
  <w:num w:numId="42" w16cid:durableId="367070495">
    <w:abstractNumId w:val="36"/>
  </w:num>
  <w:num w:numId="43" w16cid:durableId="231280868">
    <w:abstractNumId w:val="35"/>
  </w:num>
  <w:num w:numId="44" w16cid:durableId="1050960116">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5C1"/>
    <w:rsid w:val="0001686B"/>
    <w:rsid w:val="00016CEE"/>
    <w:rsid w:val="00017243"/>
    <w:rsid w:val="0001727D"/>
    <w:rsid w:val="00017E83"/>
    <w:rsid w:val="00017F08"/>
    <w:rsid w:val="00021549"/>
    <w:rsid w:val="00021F53"/>
    <w:rsid w:val="00021FA1"/>
    <w:rsid w:val="00022E4A"/>
    <w:rsid w:val="00022E7F"/>
    <w:rsid w:val="00022E9F"/>
    <w:rsid w:val="00022FBE"/>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2F2"/>
    <w:rsid w:val="000353B6"/>
    <w:rsid w:val="00035D07"/>
    <w:rsid w:val="00035FBF"/>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A5A"/>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601C8"/>
    <w:rsid w:val="0006068B"/>
    <w:rsid w:val="00060EE6"/>
    <w:rsid w:val="0006105B"/>
    <w:rsid w:val="000610DF"/>
    <w:rsid w:val="000615DA"/>
    <w:rsid w:val="000618C0"/>
    <w:rsid w:val="00061F0F"/>
    <w:rsid w:val="0006226F"/>
    <w:rsid w:val="00062503"/>
    <w:rsid w:val="0006278C"/>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6CCA"/>
    <w:rsid w:val="000775E6"/>
    <w:rsid w:val="000779AC"/>
    <w:rsid w:val="00077BC5"/>
    <w:rsid w:val="00077E13"/>
    <w:rsid w:val="00077E63"/>
    <w:rsid w:val="00077FD1"/>
    <w:rsid w:val="000806C2"/>
    <w:rsid w:val="00080932"/>
    <w:rsid w:val="00080AB1"/>
    <w:rsid w:val="00080CE9"/>
    <w:rsid w:val="00080E87"/>
    <w:rsid w:val="000817FD"/>
    <w:rsid w:val="000818E4"/>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678"/>
    <w:rsid w:val="00094894"/>
    <w:rsid w:val="00094A33"/>
    <w:rsid w:val="00095E60"/>
    <w:rsid w:val="00096078"/>
    <w:rsid w:val="00096225"/>
    <w:rsid w:val="00096633"/>
    <w:rsid w:val="00096847"/>
    <w:rsid w:val="00096CC7"/>
    <w:rsid w:val="000972BA"/>
    <w:rsid w:val="0009782E"/>
    <w:rsid w:val="000A062F"/>
    <w:rsid w:val="000A1258"/>
    <w:rsid w:val="000A2BBA"/>
    <w:rsid w:val="000A2E40"/>
    <w:rsid w:val="000A33C1"/>
    <w:rsid w:val="000A3C01"/>
    <w:rsid w:val="000A40A2"/>
    <w:rsid w:val="000A44CD"/>
    <w:rsid w:val="000A44E6"/>
    <w:rsid w:val="000A461C"/>
    <w:rsid w:val="000A46A7"/>
    <w:rsid w:val="000A53F6"/>
    <w:rsid w:val="000A5885"/>
    <w:rsid w:val="000A5A5D"/>
    <w:rsid w:val="000A5B15"/>
    <w:rsid w:val="000A5B9B"/>
    <w:rsid w:val="000A62BA"/>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3EE"/>
    <w:rsid w:val="000B55FE"/>
    <w:rsid w:val="000B595E"/>
    <w:rsid w:val="000B621D"/>
    <w:rsid w:val="000B651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1CB"/>
    <w:rsid w:val="000C722B"/>
    <w:rsid w:val="000C7688"/>
    <w:rsid w:val="000C7C45"/>
    <w:rsid w:val="000D0275"/>
    <w:rsid w:val="000D06CE"/>
    <w:rsid w:val="000D0FAC"/>
    <w:rsid w:val="000D1004"/>
    <w:rsid w:val="000D1247"/>
    <w:rsid w:val="000D1286"/>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B28"/>
    <w:rsid w:val="000E5FB8"/>
    <w:rsid w:val="000E682B"/>
    <w:rsid w:val="000E6833"/>
    <w:rsid w:val="000E6940"/>
    <w:rsid w:val="000E6ED2"/>
    <w:rsid w:val="000E6EE4"/>
    <w:rsid w:val="000E6F0F"/>
    <w:rsid w:val="000E6F43"/>
    <w:rsid w:val="000E6F50"/>
    <w:rsid w:val="000E7255"/>
    <w:rsid w:val="000E7434"/>
    <w:rsid w:val="000F0CB8"/>
    <w:rsid w:val="000F0CDD"/>
    <w:rsid w:val="000F1AD4"/>
    <w:rsid w:val="000F1CEE"/>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B7A"/>
    <w:rsid w:val="00123A2E"/>
    <w:rsid w:val="00123BDB"/>
    <w:rsid w:val="001243FE"/>
    <w:rsid w:val="00124441"/>
    <w:rsid w:val="00124B4E"/>
    <w:rsid w:val="00125D6F"/>
    <w:rsid w:val="00125F39"/>
    <w:rsid w:val="00126EB9"/>
    <w:rsid w:val="00126FC2"/>
    <w:rsid w:val="001276CA"/>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59"/>
    <w:rsid w:val="001437FB"/>
    <w:rsid w:val="001440C6"/>
    <w:rsid w:val="00144482"/>
    <w:rsid w:val="00145132"/>
    <w:rsid w:val="0014529C"/>
    <w:rsid w:val="001454A2"/>
    <w:rsid w:val="001458A4"/>
    <w:rsid w:val="00145DAA"/>
    <w:rsid w:val="0014702A"/>
    <w:rsid w:val="00147408"/>
    <w:rsid w:val="001474B1"/>
    <w:rsid w:val="0014788C"/>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221"/>
    <w:rsid w:val="001749EC"/>
    <w:rsid w:val="00174B7F"/>
    <w:rsid w:val="00174D74"/>
    <w:rsid w:val="0017575D"/>
    <w:rsid w:val="001760D7"/>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E4F"/>
    <w:rsid w:val="001842EE"/>
    <w:rsid w:val="001842F0"/>
    <w:rsid w:val="00184381"/>
    <w:rsid w:val="001848BA"/>
    <w:rsid w:val="001855F8"/>
    <w:rsid w:val="001857ED"/>
    <w:rsid w:val="001859FB"/>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2341"/>
    <w:rsid w:val="001B27AA"/>
    <w:rsid w:val="001B2F69"/>
    <w:rsid w:val="001B33A8"/>
    <w:rsid w:val="001B3484"/>
    <w:rsid w:val="001B35C4"/>
    <w:rsid w:val="001B3F05"/>
    <w:rsid w:val="001B4E1C"/>
    <w:rsid w:val="001B508E"/>
    <w:rsid w:val="001B51E2"/>
    <w:rsid w:val="001B5CC6"/>
    <w:rsid w:val="001B6035"/>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10AA"/>
    <w:rsid w:val="001E1450"/>
    <w:rsid w:val="001E177E"/>
    <w:rsid w:val="001E184C"/>
    <w:rsid w:val="001E18B2"/>
    <w:rsid w:val="001E1972"/>
    <w:rsid w:val="001E1A9E"/>
    <w:rsid w:val="001E2151"/>
    <w:rsid w:val="001E26C0"/>
    <w:rsid w:val="001E2C30"/>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6"/>
    <w:rsid w:val="002062D4"/>
    <w:rsid w:val="002065CF"/>
    <w:rsid w:val="002069D0"/>
    <w:rsid w:val="00206A7D"/>
    <w:rsid w:val="00206B8D"/>
    <w:rsid w:val="00206D3F"/>
    <w:rsid w:val="00206DB0"/>
    <w:rsid w:val="00206F90"/>
    <w:rsid w:val="002071C1"/>
    <w:rsid w:val="002077A9"/>
    <w:rsid w:val="00207C04"/>
    <w:rsid w:val="00207FD0"/>
    <w:rsid w:val="0021002B"/>
    <w:rsid w:val="00210E3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5"/>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CC2"/>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3D9"/>
    <w:rsid w:val="002867AF"/>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08A"/>
    <w:rsid w:val="00293112"/>
    <w:rsid w:val="00293168"/>
    <w:rsid w:val="002932F1"/>
    <w:rsid w:val="00293AEF"/>
    <w:rsid w:val="00294026"/>
    <w:rsid w:val="002944A8"/>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1F7B"/>
    <w:rsid w:val="002A226A"/>
    <w:rsid w:val="002A227C"/>
    <w:rsid w:val="002A2ED4"/>
    <w:rsid w:val="002A317E"/>
    <w:rsid w:val="002A33E4"/>
    <w:rsid w:val="002A34C4"/>
    <w:rsid w:val="002A38E2"/>
    <w:rsid w:val="002A3B74"/>
    <w:rsid w:val="002A4407"/>
    <w:rsid w:val="002A4455"/>
    <w:rsid w:val="002A47F6"/>
    <w:rsid w:val="002A4A7E"/>
    <w:rsid w:val="002A4A87"/>
    <w:rsid w:val="002A5546"/>
    <w:rsid w:val="002A5567"/>
    <w:rsid w:val="002A5593"/>
    <w:rsid w:val="002A583A"/>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A6C"/>
    <w:rsid w:val="002B4B2B"/>
    <w:rsid w:val="002B502C"/>
    <w:rsid w:val="002B50A2"/>
    <w:rsid w:val="002B50A7"/>
    <w:rsid w:val="002B5E51"/>
    <w:rsid w:val="002B5ED9"/>
    <w:rsid w:val="002B6418"/>
    <w:rsid w:val="002B6A47"/>
    <w:rsid w:val="002B70A4"/>
    <w:rsid w:val="002B726E"/>
    <w:rsid w:val="002B7B02"/>
    <w:rsid w:val="002B7BC3"/>
    <w:rsid w:val="002C07B8"/>
    <w:rsid w:val="002C107A"/>
    <w:rsid w:val="002C129C"/>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82"/>
    <w:rsid w:val="002F230E"/>
    <w:rsid w:val="002F29CF"/>
    <w:rsid w:val="002F33E7"/>
    <w:rsid w:val="002F37D6"/>
    <w:rsid w:val="002F43BD"/>
    <w:rsid w:val="002F4BBD"/>
    <w:rsid w:val="002F4F8A"/>
    <w:rsid w:val="002F59E1"/>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BF8"/>
    <w:rsid w:val="00324371"/>
    <w:rsid w:val="003248D7"/>
    <w:rsid w:val="0032493A"/>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32FD"/>
    <w:rsid w:val="00333302"/>
    <w:rsid w:val="00333627"/>
    <w:rsid w:val="00333F00"/>
    <w:rsid w:val="00333FA6"/>
    <w:rsid w:val="00334366"/>
    <w:rsid w:val="003344E5"/>
    <w:rsid w:val="00334AC3"/>
    <w:rsid w:val="00334BF6"/>
    <w:rsid w:val="00334E45"/>
    <w:rsid w:val="003353AD"/>
    <w:rsid w:val="003356A5"/>
    <w:rsid w:val="003357D8"/>
    <w:rsid w:val="00335A1C"/>
    <w:rsid w:val="00335B27"/>
    <w:rsid w:val="00335DF0"/>
    <w:rsid w:val="00336119"/>
    <w:rsid w:val="0033613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57C0F"/>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01E"/>
    <w:rsid w:val="00363614"/>
    <w:rsid w:val="00363AE3"/>
    <w:rsid w:val="00363D47"/>
    <w:rsid w:val="00363E1E"/>
    <w:rsid w:val="00364561"/>
    <w:rsid w:val="003646F1"/>
    <w:rsid w:val="00364884"/>
    <w:rsid w:val="00364887"/>
    <w:rsid w:val="00364CEC"/>
    <w:rsid w:val="003651B9"/>
    <w:rsid w:val="003652D6"/>
    <w:rsid w:val="003656AE"/>
    <w:rsid w:val="00365800"/>
    <w:rsid w:val="00365809"/>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466"/>
    <w:rsid w:val="00382643"/>
    <w:rsid w:val="00382A04"/>
    <w:rsid w:val="00382A07"/>
    <w:rsid w:val="00382B4F"/>
    <w:rsid w:val="00382BF3"/>
    <w:rsid w:val="00383F85"/>
    <w:rsid w:val="0038443A"/>
    <w:rsid w:val="003848A6"/>
    <w:rsid w:val="00384F52"/>
    <w:rsid w:val="003854A3"/>
    <w:rsid w:val="003859E9"/>
    <w:rsid w:val="00385B7C"/>
    <w:rsid w:val="00385FA4"/>
    <w:rsid w:val="003862A7"/>
    <w:rsid w:val="00386372"/>
    <w:rsid w:val="00386C37"/>
    <w:rsid w:val="003877AC"/>
    <w:rsid w:val="0039033F"/>
    <w:rsid w:val="003903ED"/>
    <w:rsid w:val="003906D3"/>
    <w:rsid w:val="003912CA"/>
    <w:rsid w:val="00391441"/>
    <w:rsid w:val="003917D1"/>
    <w:rsid w:val="00391B2F"/>
    <w:rsid w:val="003922FC"/>
    <w:rsid w:val="0039284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97DBF"/>
    <w:rsid w:val="003A04C3"/>
    <w:rsid w:val="003A05DC"/>
    <w:rsid w:val="003A0960"/>
    <w:rsid w:val="003A09AE"/>
    <w:rsid w:val="003A0AE2"/>
    <w:rsid w:val="003A0EC3"/>
    <w:rsid w:val="003A0ECB"/>
    <w:rsid w:val="003A1309"/>
    <w:rsid w:val="003A1B0D"/>
    <w:rsid w:val="003A2274"/>
    <w:rsid w:val="003A247F"/>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F45"/>
    <w:rsid w:val="003A5F6C"/>
    <w:rsid w:val="003A6193"/>
    <w:rsid w:val="003A64DF"/>
    <w:rsid w:val="003A6AEA"/>
    <w:rsid w:val="003A6B31"/>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E73"/>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6F6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5B5"/>
    <w:rsid w:val="003F4B23"/>
    <w:rsid w:val="003F4BBC"/>
    <w:rsid w:val="003F4F61"/>
    <w:rsid w:val="003F4F9B"/>
    <w:rsid w:val="003F5686"/>
    <w:rsid w:val="003F65E1"/>
    <w:rsid w:val="003F67F4"/>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1F3"/>
    <w:rsid w:val="00407552"/>
    <w:rsid w:val="004076DE"/>
    <w:rsid w:val="00407B1D"/>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2E1"/>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1C2"/>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8FE"/>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3A4"/>
    <w:rsid w:val="004735AE"/>
    <w:rsid w:val="0047365F"/>
    <w:rsid w:val="004737EE"/>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28"/>
    <w:rsid w:val="00487591"/>
    <w:rsid w:val="00487667"/>
    <w:rsid w:val="00487948"/>
    <w:rsid w:val="00487BA4"/>
    <w:rsid w:val="00490829"/>
    <w:rsid w:val="00490A25"/>
    <w:rsid w:val="00490FAD"/>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BB0"/>
    <w:rsid w:val="004B3DF7"/>
    <w:rsid w:val="004B3E01"/>
    <w:rsid w:val="004B47FB"/>
    <w:rsid w:val="004B4919"/>
    <w:rsid w:val="004B493C"/>
    <w:rsid w:val="004B4A71"/>
    <w:rsid w:val="004B5303"/>
    <w:rsid w:val="004B5538"/>
    <w:rsid w:val="004B55E0"/>
    <w:rsid w:val="004B57C4"/>
    <w:rsid w:val="004B65A8"/>
    <w:rsid w:val="004B666B"/>
    <w:rsid w:val="004B69D3"/>
    <w:rsid w:val="004B6B44"/>
    <w:rsid w:val="004B6C29"/>
    <w:rsid w:val="004B6D21"/>
    <w:rsid w:val="004C0328"/>
    <w:rsid w:val="004C040F"/>
    <w:rsid w:val="004C080B"/>
    <w:rsid w:val="004C105F"/>
    <w:rsid w:val="004C174C"/>
    <w:rsid w:val="004C1B33"/>
    <w:rsid w:val="004C1D59"/>
    <w:rsid w:val="004C2584"/>
    <w:rsid w:val="004C25B1"/>
    <w:rsid w:val="004C37E8"/>
    <w:rsid w:val="004C38BE"/>
    <w:rsid w:val="004C4104"/>
    <w:rsid w:val="004C4317"/>
    <w:rsid w:val="004C4691"/>
    <w:rsid w:val="004C4DFD"/>
    <w:rsid w:val="004C4ECC"/>
    <w:rsid w:val="004C578C"/>
    <w:rsid w:val="004C5AE1"/>
    <w:rsid w:val="004C5B38"/>
    <w:rsid w:val="004C646F"/>
    <w:rsid w:val="004C6614"/>
    <w:rsid w:val="004C6B08"/>
    <w:rsid w:val="004C6B0F"/>
    <w:rsid w:val="004C6D9D"/>
    <w:rsid w:val="004C77FC"/>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472"/>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17B9A"/>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C3C"/>
    <w:rsid w:val="0052688B"/>
    <w:rsid w:val="00527405"/>
    <w:rsid w:val="00527920"/>
    <w:rsid w:val="00527EFF"/>
    <w:rsid w:val="0053003B"/>
    <w:rsid w:val="00530D0A"/>
    <w:rsid w:val="005314B5"/>
    <w:rsid w:val="005316D2"/>
    <w:rsid w:val="00531C10"/>
    <w:rsid w:val="00532652"/>
    <w:rsid w:val="005332A0"/>
    <w:rsid w:val="005334B5"/>
    <w:rsid w:val="00534002"/>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21E"/>
    <w:rsid w:val="0054157D"/>
    <w:rsid w:val="00541637"/>
    <w:rsid w:val="00541CC3"/>
    <w:rsid w:val="00542731"/>
    <w:rsid w:val="00542CB1"/>
    <w:rsid w:val="0054313E"/>
    <w:rsid w:val="005431CF"/>
    <w:rsid w:val="0054321B"/>
    <w:rsid w:val="00543366"/>
    <w:rsid w:val="00543A8B"/>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10E4"/>
    <w:rsid w:val="00561327"/>
    <w:rsid w:val="00561557"/>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2C"/>
    <w:rsid w:val="00574067"/>
    <w:rsid w:val="0057406A"/>
    <w:rsid w:val="005755C6"/>
    <w:rsid w:val="00575B75"/>
    <w:rsid w:val="00575C6D"/>
    <w:rsid w:val="00576079"/>
    <w:rsid w:val="00576DA7"/>
    <w:rsid w:val="00577259"/>
    <w:rsid w:val="005774A5"/>
    <w:rsid w:val="005779AC"/>
    <w:rsid w:val="00577F57"/>
    <w:rsid w:val="00580112"/>
    <w:rsid w:val="00580D97"/>
    <w:rsid w:val="00581B75"/>
    <w:rsid w:val="00581CAA"/>
    <w:rsid w:val="00582211"/>
    <w:rsid w:val="00582743"/>
    <w:rsid w:val="00582A6E"/>
    <w:rsid w:val="00582D96"/>
    <w:rsid w:val="00583599"/>
    <w:rsid w:val="00583C9E"/>
    <w:rsid w:val="00583F24"/>
    <w:rsid w:val="005844B6"/>
    <w:rsid w:val="00584770"/>
    <w:rsid w:val="0058480B"/>
    <w:rsid w:val="00584AC6"/>
    <w:rsid w:val="00584C3A"/>
    <w:rsid w:val="00584D42"/>
    <w:rsid w:val="0058504A"/>
    <w:rsid w:val="00585490"/>
    <w:rsid w:val="00585B8B"/>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65A"/>
    <w:rsid w:val="00593997"/>
    <w:rsid w:val="005943B8"/>
    <w:rsid w:val="00594485"/>
    <w:rsid w:val="00594796"/>
    <w:rsid w:val="00594823"/>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551"/>
    <w:rsid w:val="005C783C"/>
    <w:rsid w:val="005C7ADE"/>
    <w:rsid w:val="005D0578"/>
    <w:rsid w:val="005D115B"/>
    <w:rsid w:val="005D18A2"/>
    <w:rsid w:val="005D190F"/>
    <w:rsid w:val="005D1C1E"/>
    <w:rsid w:val="005D1FEA"/>
    <w:rsid w:val="005D23E4"/>
    <w:rsid w:val="005D2805"/>
    <w:rsid w:val="005D2946"/>
    <w:rsid w:val="005D3F2D"/>
    <w:rsid w:val="005D42AC"/>
    <w:rsid w:val="005D46B5"/>
    <w:rsid w:val="005D475F"/>
    <w:rsid w:val="005D47D4"/>
    <w:rsid w:val="005D4FCC"/>
    <w:rsid w:val="005D5D0C"/>
    <w:rsid w:val="005D608C"/>
    <w:rsid w:val="005D649C"/>
    <w:rsid w:val="005D6EED"/>
    <w:rsid w:val="005D75F9"/>
    <w:rsid w:val="005D7B85"/>
    <w:rsid w:val="005E04DA"/>
    <w:rsid w:val="005E08BC"/>
    <w:rsid w:val="005E1065"/>
    <w:rsid w:val="005E1392"/>
    <w:rsid w:val="005E1CEA"/>
    <w:rsid w:val="005E1E23"/>
    <w:rsid w:val="005E25A4"/>
    <w:rsid w:val="005E2960"/>
    <w:rsid w:val="005E2BE7"/>
    <w:rsid w:val="005E2C44"/>
    <w:rsid w:val="005E2DD2"/>
    <w:rsid w:val="005E30D3"/>
    <w:rsid w:val="005E33A3"/>
    <w:rsid w:val="005E361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6004E2"/>
    <w:rsid w:val="00600701"/>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137E"/>
    <w:rsid w:val="0061223D"/>
    <w:rsid w:val="00612562"/>
    <w:rsid w:val="006125BA"/>
    <w:rsid w:val="00612730"/>
    <w:rsid w:val="00612849"/>
    <w:rsid w:val="00612999"/>
    <w:rsid w:val="00612DC4"/>
    <w:rsid w:val="0061350D"/>
    <w:rsid w:val="006135F7"/>
    <w:rsid w:val="006137DE"/>
    <w:rsid w:val="00613CE8"/>
    <w:rsid w:val="00613D1C"/>
    <w:rsid w:val="0061413E"/>
    <w:rsid w:val="00614920"/>
    <w:rsid w:val="0061499C"/>
    <w:rsid w:val="00615B41"/>
    <w:rsid w:val="00616060"/>
    <w:rsid w:val="006160C9"/>
    <w:rsid w:val="00616782"/>
    <w:rsid w:val="006169A0"/>
    <w:rsid w:val="00617AAC"/>
    <w:rsid w:val="00617DF8"/>
    <w:rsid w:val="006201C2"/>
    <w:rsid w:val="0062026C"/>
    <w:rsid w:val="00620E47"/>
    <w:rsid w:val="0062108E"/>
    <w:rsid w:val="0062162D"/>
    <w:rsid w:val="0062164F"/>
    <w:rsid w:val="00621CF4"/>
    <w:rsid w:val="0062215E"/>
    <w:rsid w:val="00622210"/>
    <w:rsid w:val="006226FD"/>
    <w:rsid w:val="00622B83"/>
    <w:rsid w:val="00622D02"/>
    <w:rsid w:val="006230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AFA"/>
    <w:rsid w:val="00631BDC"/>
    <w:rsid w:val="00632069"/>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1"/>
    <w:rsid w:val="0064076D"/>
    <w:rsid w:val="0064080D"/>
    <w:rsid w:val="00640879"/>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7DC"/>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3C6"/>
    <w:rsid w:val="00657874"/>
    <w:rsid w:val="00657AA3"/>
    <w:rsid w:val="0066085B"/>
    <w:rsid w:val="00660DBF"/>
    <w:rsid w:val="00661227"/>
    <w:rsid w:val="00661378"/>
    <w:rsid w:val="006619ED"/>
    <w:rsid w:val="00661D60"/>
    <w:rsid w:val="00661E82"/>
    <w:rsid w:val="006626D6"/>
    <w:rsid w:val="006626E4"/>
    <w:rsid w:val="00662C05"/>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AFF"/>
    <w:rsid w:val="00666B12"/>
    <w:rsid w:val="00666D19"/>
    <w:rsid w:val="00666D88"/>
    <w:rsid w:val="006671F1"/>
    <w:rsid w:val="00667691"/>
    <w:rsid w:val="006679F9"/>
    <w:rsid w:val="00667D87"/>
    <w:rsid w:val="00667F8A"/>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214F"/>
    <w:rsid w:val="006822F4"/>
    <w:rsid w:val="00682840"/>
    <w:rsid w:val="0068296C"/>
    <w:rsid w:val="006837B0"/>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A27"/>
    <w:rsid w:val="00693D6C"/>
    <w:rsid w:val="0069423F"/>
    <w:rsid w:val="0069441B"/>
    <w:rsid w:val="006944C6"/>
    <w:rsid w:val="00695646"/>
    <w:rsid w:val="00695F90"/>
    <w:rsid w:val="00696002"/>
    <w:rsid w:val="00696455"/>
    <w:rsid w:val="00696AC1"/>
    <w:rsid w:val="00696CC9"/>
    <w:rsid w:val="00696E12"/>
    <w:rsid w:val="006973DB"/>
    <w:rsid w:val="0069743D"/>
    <w:rsid w:val="0069752A"/>
    <w:rsid w:val="00697F18"/>
    <w:rsid w:val="006A1049"/>
    <w:rsid w:val="006A1488"/>
    <w:rsid w:val="006A1A80"/>
    <w:rsid w:val="006A1FEB"/>
    <w:rsid w:val="006A2022"/>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3F8"/>
    <w:rsid w:val="006C25D3"/>
    <w:rsid w:val="006C36D0"/>
    <w:rsid w:val="006C384C"/>
    <w:rsid w:val="006C4091"/>
    <w:rsid w:val="006C4211"/>
    <w:rsid w:val="006C4680"/>
    <w:rsid w:val="006C474C"/>
    <w:rsid w:val="006C48C8"/>
    <w:rsid w:val="006C4A8E"/>
    <w:rsid w:val="006C4C1C"/>
    <w:rsid w:val="006C57DF"/>
    <w:rsid w:val="006C588E"/>
    <w:rsid w:val="006C60E3"/>
    <w:rsid w:val="006C63A6"/>
    <w:rsid w:val="006C6622"/>
    <w:rsid w:val="006C6ABD"/>
    <w:rsid w:val="006C7816"/>
    <w:rsid w:val="006C796C"/>
    <w:rsid w:val="006C7B68"/>
    <w:rsid w:val="006D00B2"/>
    <w:rsid w:val="006D06AD"/>
    <w:rsid w:val="006D0DEB"/>
    <w:rsid w:val="006D11FE"/>
    <w:rsid w:val="006D12E6"/>
    <w:rsid w:val="006D1324"/>
    <w:rsid w:val="006D19BC"/>
    <w:rsid w:val="006D241B"/>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369"/>
    <w:rsid w:val="006D78CD"/>
    <w:rsid w:val="006D7959"/>
    <w:rsid w:val="006D7BCC"/>
    <w:rsid w:val="006E0714"/>
    <w:rsid w:val="006E09E7"/>
    <w:rsid w:val="006E0C38"/>
    <w:rsid w:val="006E0F08"/>
    <w:rsid w:val="006E175F"/>
    <w:rsid w:val="006E1AD4"/>
    <w:rsid w:val="006E1E00"/>
    <w:rsid w:val="006E21FB"/>
    <w:rsid w:val="006E2219"/>
    <w:rsid w:val="006E2341"/>
    <w:rsid w:val="006E2E28"/>
    <w:rsid w:val="006E2E90"/>
    <w:rsid w:val="006E30AD"/>
    <w:rsid w:val="006E3175"/>
    <w:rsid w:val="006E34C2"/>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10D3"/>
    <w:rsid w:val="006F137A"/>
    <w:rsid w:val="006F21DC"/>
    <w:rsid w:val="006F2944"/>
    <w:rsid w:val="006F2C29"/>
    <w:rsid w:val="006F390D"/>
    <w:rsid w:val="006F3C12"/>
    <w:rsid w:val="006F41D1"/>
    <w:rsid w:val="006F4378"/>
    <w:rsid w:val="006F47C9"/>
    <w:rsid w:val="006F4B7B"/>
    <w:rsid w:val="006F5F64"/>
    <w:rsid w:val="006F6047"/>
    <w:rsid w:val="006F618C"/>
    <w:rsid w:val="006F62AA"/>
    <w:rsid w:val="006F6CEC"/>
    <w:rsid w:val="006F6D34"/>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8B3"/>
    <w:rsid w:val="00714C34"/>
    <w:rsid w:val="00714F68"/>
    <w:rsid w:val="00715A1A"/>
    <w:rsid w:val="0071688C"/>
    <w:rsid w:val="00716A89"/>
    <w:rsid w:val="00716B4E"/>
    <w:rsid w:val="00716FCB"/>
    <w:rsid w:val="00717B82"/>
    <w:rsid w:val="007204D2"/>
    <w:rsid w:val="00720AB9"/>
    <w:rsid w:val="0072116D"/>
    <w:rsid w:val="00721C14"/>
    <w:rsid w:val="00722575"/>
    <w:rsid w:val="007229EF"/>
    <w:rsid w:val="00722EAF"/>
    <w:rsid w:val="007230BC"/>
    <w:rsid w:val="00723FB3"/>
    <w:rsid w:val="007240E4"/>
    <w:rsid w:val="007242BC"/>
    <w:rsid w:val="0072479E"/>
    <w:rsid w:val="00724972"/>
    <w:rsid w:val="00724AEC"/>
    <w:rsid w:val="00724BEE"/>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D0"/>
    <w:rsid w:val="00734BBB"/>
    <w:rsid w:val="00735BB4"/>
    <w:rsid w:val="007360B7"/>
    <w:rsid w:val="00736370"/>
    <w:rsid w:val="007363CF"/>
    <w:rsid w:val="007363D9"/>
    <w:rsid w:val="00736ABB"/>
    <w:rsid w:val="00736DDE"/>
    <w:rsid w:val="00736E55"/>
    <w:rsid w:val="00737AEA"/>
    <w:rsid w:val="007407DC"/>
    <w:rsid w:val="00741CCA"/>
    <w:rsid w:val="007423AC"/>
    <w:rsid w:val="007424F5"/>
    <w:rsid w:val="00742894"/>
    <w:rsid w:val="00742908"/>
    <w:rsid w:val="00742C86"/>
    <w:rsid w:val="007432E6"/>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2CF2"/>
    <w:rsid w:val="00762D51"/>
    <w:rsid w:val="00762D60"/>
    <w:rsid w:val="007630DD"/>
    <w:rsid w:val="007641C7"/>
    <w:rsid w:val="00764E05"/>
    <w:rsid w:val="007657CC"/>
    <w:rsid w:val="00765FCC"/>
    <w:rsid w:val="00766188"/>
    <w:rsid w:val="0076637B"/>
    <w:rsid w:val="00766A9A"/>
    <w:rsid w:val="00767236"/>
    <w:rsid w:val="00767521"/>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DF8"/>
    <w:rsid w:val="00787FE9"/>
    <w:rsid w:val="00790189"/>
    <w:rsid w:val="00790D7E"/>
    <w:rsid w:val="0079122C"/>
    <w:rsid w:val="007916EF"/>
    <w:rsid w:val="00791AD4"/>
    <w:rsid w:val="00791C7D"/>
    <w:rsid w:val="00791CE5"/>
    <w:rsid w:val="00791D17"/>
    <w:rsid w:val="007923F8"/>
    <w:rsid w:val="00792B1D"/>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25FC"/>
    <w:rsid w:val="007A2A54"/>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94E"/>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C1C"/>
    <w:rsid w:val="007E3FE6"/>
    <w:rsid w:val="007E44D6"/>
    <w:rsid w:val="007E45AD"/>
    <w:rsid w:val="007E460A"/>
    <w:rsid w:val="007E4D59"/>
    <w:rsid w:val="007E4EB8"/>
    <w:rsid w:val="007E4F5E"/>
    <w:rsid w:val="007E51C7"/>
    <w:rsid w:val="007E5469"/>
    <w:rsid w:val="007E5F4B"/>
    <w:rsid w:val="007E64AD"/>
    <w:rsid w:val="007E7022"/>
    <w:rsid w:val="007E78D9"/>
    <w:rsid w:val="007E7C83"/>
    <w:rsid w:val="007E7DBF"/>
    <w:rsid w:val="007F0126"/>
    <w:rsid w:val="007F08F9"/>
    <w:rsid w:val="007F0B50"/>
    <w:rsid w:val="007F12C4"/>
    <w:rsid w:val="007F15A5"/>
    <w:rsid w:val="007F1929"/>
    <w:rsid w:val="007F220A"/>
    <w:rsid w:val="007F2305"/>
    <w:rsid w:val="007F2629"/>
    <w:rsid w:val="007F3166"/>
    <w:rsid w:val="007F3549"/>
    <w:rsid w:val="007F36DF"/>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ABB"/>
    <w:rsid w:val="008042B5"/>
    <w:rsid w:val="008045DD"/>
    <w:rsid w:val="0080575D"/>
    <w:rsid w:val="00805936"/>
    <w:rsid w:val="00805ED6"/>
    <w:rsid w:val="00805FEB"/>
    <w:rsid w:val="0080618C"/>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ADA"/>
    <w:rsid w:val="00820C9A"/>
    <w:rsid w:val="008211E0"/>
    <w:rsid w:val="00821510"/>
    <w:rsid w:val="008215EE"/>
    <w:rsid w:val="008217A6"/>
    <w:rsid w:val="00821866"/>
    <w:rsid w:val="00821CE6"/>
    <w:rsid w:val="008229C3"/>
    <w:rsid w:val="00823591"/>
    <w:rsid w:val="00823D48"/>
    <w:rsid w:val="00824770"/>
    <w:rsid w:val="00824E00"/>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454E"/>
    <w:rsid w:val="00844A6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64C2"/>
    <w:rsid w:val="00856821"/>
    <w:rsid w:val="00856A4B"/>
    <w:rsid w:val="008571DC"/>
    <w:rsid w:val="00857287"/>
    <w:rsid w:val="00857899"/>
    <w:rsid w:val="00857F8A"/>
    <w:rsid w:val="00860222"/>
    <w:rsid w:val="008602EE"/>
    <w:rsid w:val="00860B5B"/>
    <w:rsid w:val="0086130F"/>
    <w:rsid w:val="00861518"/>
    <w:rsid w:val="00861758"/>
    <w:rsid w:val="008619CD"/>
    <w:rsid w:val="00861F2F"/>
    <w:rsid w:val="00862147"/>
    <w:rsid w:val="00864556"/>
    <w:rsid w:val="00864C20"/>
    <w:rsid w:val="0086506A"/>
    <w:rsid w:val="00865F2C"/>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FD4"/>
    <w:rsid w:val="00886260"/>
    <w:rsid w:val="008863CB"/>
    <w:rsid w:val="00886F56"/>
    <w:rsid w:val="008870DE"/>
    <w:rsid w:val="00890CE1"/>
    <w:rsid w:val="00890D66"/>
    <w:rsid w:val="00891155"/>
    <w:rsid w:val="008913B5"/>
    <w:rsid w:val="0089174F"/>
    <w:rsid w:val="00891909"/>
    <w:rsid w:val="008919EC"/>
    <w:rsid w:val="00891BBF"/>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241E"/>
    <w:rsid w:val="008A2853"/>
    <w:rsid w:val="008A29E7"/>
    <w:rsid w:val="008A342C"/>
    <w:rsid w:val="008A354F"/>
    <w:rsid w:val="008A3FD2"/>
    <w:rsid w:val="008A40BC"/>
    <w:rsid w:val="008A554A"/>
    <w:rsid w:val="008A574A"/>
    <w:rsid w:val="008A57B3"/>
    <w:rsid w:val="008A5DC7"/>
    <w:rsid w:val="008A5DD7"/>
    <w:rsid w:val="008A601C"/>
    <w:rsid w:val="008A61CF"/>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444"/>
    <w:rsid w:val="008B7532"/>
    <w:rsid w:val="008B76D5"/>
    <w:rsid w:val="008C2112"/>
    <w:rsid w:val="008C2674"/>
    <w:rsid w:val="008C2904"/>
    <w:rsid w:val="008C3173"/>
    <w:rsid w:val="008C399A"/>
    <w:rsid w:val="008C3A68"/>
    <w:rsid w:val="008C4180"/>
    <w:rsid w:val="008C41E3"/>
    <w:rsid w:val="008C491C"/>
    <w:rsid w:val="008C4B83"/>
    <w:rsid w:val="008C4DC9"/>
    <w:rsid w:val="008C4E84"/>
    <w:rsid w:val="008C50E6"/>
    <w:rsid w:val="008C5133"/>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4E"/>
    <w:rsid w:val="008D23EE"/>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FFB"/>
    <w:rsid w:val="008E00D2"/>
    <w:rsid w:val="008E02E0"/>
    <w:rsid w:val="008E08FD"/>
    <w:rsid w:val="008E0AB5"/>
    <w:rsid w:val="008E1A58"/>
    <w:rsid w:val="008E1D09"/>
    <w:rsid w:val="008E2B8F"/>
    <w:rsid w:val="008E2EF9"/>
    <w:rsid w:val="008E3107"/>
    <w:rsid w:val="008E4005"/>
    <w:rsid w:val="008E4379"/>
    <w:rsid w:val="008E4772"/>
    <w:rsid w:val="008E486D"/>
    <w:rsid w:val="008E4CD1"/>
    <w:rsid w:val="008E5676"/>
    <w:rsid w:val="008E587B"/>
    <w:rsid w:val="008E5909"/>
    <w:rsid w:val="008E5E35"/>
    <w:rsid w:val="008E6914"/>
    <w:rsid w:val="008E72E5"/>
    <w:rsid w:val="008E7572"/>
    <w:rsid w:val="008E7C26"/>
    <w:rsid w:val="008F0092"/>
    <w:rsid w:val="008F03B1"/>
    <w:rsid w:val="008F28EC"/>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6227"/>
    <w:rsid w:val="0090628F"/>
    <w:rsid w:val="0090658A"/>
    <w:rsid w:val="0090663D"/>
    <w:rsid w:val="00906DAF"/>
    <w:rsid w:val="009109FD"/>
    <w:rsid w:val="00910A71"/>
    <w:rsid w:val="00910D9B"/>
    <w:rsid w:val="0091135F"/>
    <w:rsid w:val="0091147C"/>
    <w:rsid w:val="009118BC"/>
    <w:rsid w:val="00911A50"/>
    <w:rsid w:val="00911BC7"/>
    <w:rsid w:val="009122B7"/>
    <w:rsid w:val="00912637"/>
    <w:rsid w:val="00913130"/>
    <w:rsid w:val="0091364E"/>
    <w:rsid w:val="00913C50"/>
    <w:rsid w:val="00913DA0"/>
    <w:rsid w:val="009143FB"/>
    <w:rsid w:val="00914B45"/>
    <w:rsid w:val="00914D24"/>
    <w:rsid w:val="00915732"/>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1E6"/>
    <w:rsid w:val="00943B42"/>
    <w:rsid w:val="00943D57"/>
    <w:rsid w:val="00943DD6"/>
    <w:rsid w:val="009441FF"/>
    <w:rsid w:val="00944319"/>
    <w:rsid w:val="00944EA4"/>
    <w:rsid w:val="00945182"/>
    <w:rsid w:val="00945330"/>
    <w:rsid w:val="00945B4B"/>
    <w:rsid w:val="00945B53"/>
    <w:rsid w:val="009463EC"/>
    <w:rsid w:val="0094642C"/>
    <w:rsid w:val="009469CC"/>
    <w:rsid w:val="00946CE4"/>
    <w:rsid w:val="00946E1F"/>
    <w:rsid w:val="00946FAD"/>
    <w:rsid w:val="009473B9"/>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254"/>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7159"/>
    <w:rsid w:val="009771C6"/>
    <w:rsid w:val="00977A6C"/>
    <w:rsid w:val="009805EB"/>
    <w:rsid w:val="00980AD2"/>
    <w:rsid w:val="00980CC1"/>
    <w:rsid w:val="00980D9D"/>
    <w:rsid w:val="0098153F"/>
    <w:rsid w:val="00982099"/>
    <w:rsid w:val="009828BE"/>
    <w:rsid w:val="00982924"/>
    <w:rsid w:val="00983334"/>
    <w:rsid w:val="009835CA"/>
    <w:rsid w:val="00983ABB"/>
    <w:rsid w:val="009852E5"/>
    <w:rsid w:val="0098538E"/>
    <w:rsid w:val="00985B49"/>
    <w:rsid w:val="00985D81"/>
    <w:rsid w:val="00985DA5"/>
    <w:rsid w:val="00985EAE"/>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86"/>
    <w:rsid w:val="00995125"/>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59E"/>
    <w:rsid w:val="009B0A88"/>
    <w:rsid w:val="009B1086"/>
    <w:rsid w:val="009B1215"/>
    <w:rsid w:val="009B15AE"/>
    <w:rsid w:val="009B1A53"/>
    <w:rsid w:val="009B1B41"/>
    <w:rsid w:val="009B1F36"/>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F7"/>
    <w:rsid w:val="009C4A98"/>
    <w:rsid w:val="009C50E8"/>
    <w:rsid w:val="009C56C6"/>
    <w:rsid w:val="009C570A"/>
    <w:rsid w:val="009C6612"/>
    <w:rsid w:val="009C6925"/>
    <w:rsid w:val="009C6C2F"/>
    <w:rsid w:val="009C6FD0"/>
    <w:rsid w:val="009C70C2"/>
    <w:rsid w:val="009C72C0"/>
    <w:rsid w:val="009C775F"/>
    <w:rsid w:val="009C78FF"/>
    <w:rsid w:val="009D116B"/>
    <w:rsid w:val="009D12A9"/>
    <w:rsid w:val="009D15D9"/>
    <w:rsid w:val="009D1785"/>
    <w:rsid w:val="009D1EAC"/>
    <w:rsid w:val="009D256D"/>
    <w:rsid w:val="009D2650"/>
    <w:rsid w:val="009D2654"/>
    <w:rsid w:val="009D33E5"/>
    <w:rsid w:val="009D36FD"/>
    <w:rsid w:val="009D3A89"/>
    <w:rsid w:val="009D4420"/>
    <w:rsid w:val="009D446B"/>
    <w:rsid w:val="009D4634"/>
    <w:rsid w:val="009D52D3"/>
    <w:rsid w:val="009D5485"/>
    <w:rsid w:val="009D594F"/>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13B1"/>
    <w:rsid w:val="00A11FA5"/>
    <w:rsid w:val="00A12004"/>
    <w:rsid w:val="00A121E0"/>
    <w:rsid w:val="00A130C8"/>
    <w:rsid w:val="00A13188"/>
    <w:rsid w:val="00A13280"/>
    <w:rsid w:val="00A13AFB"/>
    <w:rsid w:val="00A14045"/>
    <w:rsid w:val="00A14415"/>
    <w:rsid w:val="00A14CED"/>
    <w:rsid w:val="00A151C9"/>
    <w:rsid w:val="00A15332"/>
    <w:rsid w:val="00A154EE"/>
    <w:rsid w:val="00A15AEA"/>
    <w:rsid w:val="00A15BEC"/>
    <w:rsid w:val="00A162FA"/>
    <w:rsid w:val="00A16A8E"/>
    <w:rsid w:val="00A16F7A"/>
    <w:rsid w:val="00A17525"/>
    <w:rsid w:val="00A20B0F"/>
    <w:rsid w:val="00A211B5"/>
    <w:rsid w:val="00A219EB"/>
    <w:rsid w:val="00A21E9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E7F"/>
    <w:rsid w:val="00A3314F"/>
    <w:rsid w:val="00A33B25"/>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C3D"/>
    <w:rsid w:val="00A4357A"/>
    <w:rsid w:val="00A43821"/>
    <w:rsid w:val="00A4396E"/>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892"/>
    <w:rsid w:val="00A51DB5"/>
    <w:rsid w:val="00A51F1F"/>
    <w:rsid w:val="00A52F5E"/>
    <w:rsid w:val="00A52F68"/>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068E"/>
    <w:rsid w:val="00A610C6"/>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6AC"/>
    <w:rsid w:val="00A678C3"/>
    <w:rsid w:val="00A67960"/>
    <w:rsid w:val="00A7022C"/>
    <w:rsid w:val="00A70954"/>
    <w:rsid w:val="00A7123C"/>
    <w:rsid w:val="00A71708"/>
    <w:rsid w:val="00A7243B"/>
    <w:rsid w:val="00A7252D"/>
    <w:rsid w:val="00A7279D"/>
    <w:rsid w:val="00A728F6"/>
    <w:rsid w:val="00A729D2"/>
    <w:rsid w:val="00A72AA6"/>
    <w:rsid w:val="00A73D48"/>
    <w:rsid w:val="00A747B9"/>
    <w:rsid w:val="00A751C5"/>
    <w:rsid w:val="00A76342"/>
    <w:rsid w:val="00A76AC9"/>
    <w:rsid w:val="00A76DBA"/>
    <w:rsid w:val="00A77992"/>
    <w:rsid w:val="00A77C98"/>
    <w:rsid w:val="00A800AE"/>
    <w:rsid w:val="00A80A5D"/>
    <w:rsid w:val="00A80E8C"/>
    <w:rsid w:val="00A81313"/>
    <w:rsid w:val="00A81C2D"/>
    <w:rsid w:val="00A81CB7"/>
    <w:rsid w:val="00A81D88"/>
    <w:rsid w:val="00A82088"/>
    <w:rsid w:val="00A824AF"/>
    <w:rsid w:val="00A8262F"/>
    <w:rsid w:val="00A82A8A"/>
    <w:rsid w:val="00A82EDF"/>
    <w:rsid w:val="00A832F8"/>
    <w:rsid w:val="00A833F4"/>
    <w:rsid w:val="00A83E70"/>
    <w:rsid w:val="00A83EA0"/>
    <w:rsid w:val="00A84121"/>
    <w:rsid w:val="00A844D1"/>
    <w:rsid w:val="00A85312"/>
    <w:rsid w:val="00A85CBC"/>
    <w:rsid w:val="00A85DAB"/>
    <w:rsid w:val="00A86451"/>
    <w:rsid w:val="00A8683F"/>
    <w:rsid w:val="00A86F6F"/>
    <w:rsid w:val="00A870FA"/>
    <w:rsid w:val="00A872C1"/>
    <w:rsid w:val="00A8764C"/>
    <w:rsid w:val="00A87677"/>
    <w:rsid w:val="00A8777F"/>
    <w:rsid w:val="00A8798F"/>
    <w:rsid w:val="00A879BE"/>
    <w:rsid w:val="00A87D66"/>
    <w:rsid w:val="00A87ECC"/>
    <w:rsid w:val="00A87FDB"/>
    <w:rsid w:val="00A902C4"/>
    <w:rsid w:val="00A90602"/>
    <w:rsid w:val="00A9094D"/>
    <w:rsid w:val="00A9109C"/>
    <w:rsid w:val="00A9113E"/>
    <w:rsid w:val="00A916B8"/>
    <w:rsid w:val="00A91CAA"/>
    <w:rsid w:val="00A91CD5"/>
    <w:rsid w:val="00A91EBB"/>
    <w:rsid w:val="00A91F3B"/>
    <w:rsid w:val="00A92047"/>
    <w:rsid w:val="00A92304"/>
    <w:rsid w:val="00A92D5C"/>
    <w:rsid w:val="00A93828"/>
    <w:rsid w:val="00A93946"/>
    <w:rsid w:val="00A93C40"/>
    <w:rsid w:val="00A93D61"/>
    <w:rsid w:val="00A941E0"/>
    <w:rsid w:val="00A94476"/>
    <w:rsid w:val="00A949A1"/>
    <w:rsid w:val="00A94A77"/>
    <w:rsid w:val="00A94AF1"/>
    <w:rsid w:val="00A94EEB"/>
    <w:rsid w:val="00A95031"/>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E5C"/>
    <w:rsid w:val="00AA6EE5"/>
    <w:rsid w:val="00AA7522"/>
    <w:rsid w:val="00AA7CD9"/>
    <w:rsid w:val="00AB0356"/>
    <w:rsid w:val="00AB06C9"/>
    <w:rsid w:val="00AB09B4"/>
    <w:rsid w:val="00AB0B0B"/>
    <w:rsid w:val="00AB0DA4"/>
    <w:rsid w:val="00AB116C"/>
    <w:rsid w:val="00AB15A9"/>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3659"/>
    <w:rsid w:val="00AD42FA"/>
    <w:rsid w:val="00AD43A7"/>
    <w:rsid w:val="00AD4476"/>
    <w:rsid w:val="00AD50F7"/>
    <w:rsid w:val="00AD5150"/>
    <w:rsid w:val="00AD5DE4"/>
    <w:rsid w:val="00AD5EE4"/>
    <w:rsid w:val="00AD6915"/>
    <w:rsid w:val="00AD6CE6"/>
    <w:rsid w:val="00AD6EEA"/>
    <w:rsid w:val="00AD7010"/>
    <w:rsid w:val="00AD7261"/>
    <w:rsid w:val="00AD7263"/>
    <w:rsid w:val="00AD7334"/>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4441"/>
    <w:rsid w:val="00AE52AF"/>
    <w:rsid w:val="00AE52F8"/>
    <w:rsid w:val="00AE576A"/>
    <w:rsid w:val="00AE579A"/>
    <w:rsid w:val="00AE5A5D"/>
    <w:rsid w:val="00AE5D3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3734"/>
    <w:rsid w:val="00B13966"/>
    <w:rsid w:val="00B13B9F"/>
    <w:rsid w:val="00B14271"/>
    <w:rsid w:val="00B1430B"/>
    <w:rsid w:val="00B1451E"/>
    <w:rsid w:val="00B1462F"/>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58E"/>
    <w:rsid w:val="00B2478E"/>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FFC"/>
    <w:rsid w:val="00B32B01"/>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0AD6"/>
    <w:rsid w:val="00B4173C"/>
    <w:rsid w:val="00B41AF4"/>
    <w:rsid w:val="00B41E37"/>
    <w:rsid w:val="00B41F5F"/>
    <w:rsid w:val="00B421CB"/>
    <w:rsid w:val="00B42594"/>
    <w:rsid w:val="00B4298D"/>
    <w:rsid w:val="00B434EA"/>
    <w:rsid w:val="00B435B9"/>
    <w:rsid w:val="00B43705"/>
    <w:rsid w:val="00B44469"/>
    <w:rsid w:val="00B444CF"/>
    <w:rsid w:val="00B4479C"/>
    <w:rsid w:val="00B447E9"/>
    <w:rsid w:val="00B44E81"/>
    <w:rsid w:val="00B45052"/>
    <w:rsid w:val="00B452B6"/>
    <w:rsid w:val="00B4588E"/>
    <w:rsid w:val="00B4597E"/>
    <w:rsid w:val="00B45CFF"/>
    <w:rsid w:val="00B45D24"/>
    <w:rsid w:val="00B46599"/>
    <w:rsid w:val="00B46AEC"/>
    <w:rsid w:val="00B46CCB"/>
    <w:rsid w:val="00B47066"/>
    <w:rsid w:val="00B470D4"/>
    <w:rsid w:val="00B479B4"/>
    <w:rsid w:val="00B47C82"/>
    <w:rsid w:val="00B47DDC"/>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4015"/>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288"/>
    <w:rsid w:val="00B610F7"/>
    <w:rsid w:val="00B61158"/>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55E"/>
    <w:rsid w:val="00B67938"/>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1E95"/>
    <w:rsid w:val="00B72018"/>
    <w:rsid w:val="00B73CCD"/>
    <w:rsid w:val="00B73D83"/>
    <w:rsid w:val="00B73EF3"/>
    <w:rsid w:val="00B749FB"/>
    <w:rsid w:val="00B74C7D"/>
    <w:rsid w:val="00B75021"/>
    <w:rsid w:val="00B75299"/>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B48"/>
    <w:rsid w:val="00BA0D0F"/>
    <w:rsid w:val="00BA16C6"/>
    <w:rsid w:val="00BA1DC8"/>
    <w:rsid w:val="00BA202C"/>
    <w:rsid w:val="00BA2B47"/>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C3D"/>
    <w:rsid w:val="00BB16ED"/>
    <w:rsid w:val="00BB2595"/>
    <w:rsid w:val="00BB2A3A"/>
    <w:rsid w:val="00BB2D59"/>
    <w:rsid w:val="00BB32AF"/>
    <w:rsid w:val="00BB37CA"/>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2D8E"/>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49E"/>
    <w:rsid w:val="00BE7566"/>
    <w:rsid w:val="00BE7884"/>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AD"/>
    <w:rsid w:val="00C0183A"/>
    <w:rsid w:val="00C01C5F"/>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2AA8"/>
    <w:rsid w:val="00C133BB"/>
    <w:rsid w:val="00C13B39"/>
    <w:rsid w:val="00C13C1D"/>
    <w:rsid w:val="00C13DCF"/>
    <w:rsid w:val="00C140CE"/>
    <w:rsid w:val="00C140F5"/>
    <w:rsid w:val="00C14112"/>
    <w:rsid w:val="00C14862"/>
    <w:rsid w:val="00C1493C"/>
    <w:rsid w:val="00C14C81"/>
    <w:rsid w:val="00C14C9B"/>
    <w:rsid w:val="00C14D1E"/>
    <w:rsid w:val="00C15460"/>
    <w:rsid w:val="00C1548D"/>
    <w:rsid w:val="00C15712"/>
    <w:rsid w:val="00C160F7"/>
    <w:rsid w:val="00C162F4"/>
    <w:rsid w:val="00C164E6"/>
    <w:rsid w:val="00C16C7D"/>
    <w:rsid w:val="00C17167"/>
    <w:rsid w:val="00C175B4"/>
    <w:rsid w:val="00C1774F"/>
    <w:rsid w:val="00C17B74"/>
    <w:rsid w:val="00C17CC2"/>
    <w:rsid w:val="00C17D34"/>
    <w:rsid w:val="00C200CD"/>
    <w:rsid w:val="00C21285"/>
    <w:rsid w:val="00C2146F"/>
    <w:rsid w:val="00C21C0D"/>
    <w:rsid w:val="00C22061"/>
    <w:rsid w:val="00C223D4"/>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311"/>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1EC4"/>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319"/>
    <w:rsid w:val="00CD5430"/>
    <w:rsid w:val="00CD565F"/>
    <w:rsid w:val="00CD570F"/>
    <w:rsid w:val="00CD5942"/>
    <w:rsid w:val="00CD5CDB"/>
    <w:rsid w:val="00CD6056"/>
    <w:rsid w:val="00CD62FD"/>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CF9"/>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3670"/>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C2F"/>
    <w:rsid w:val="00D110B8"/>
    <w:rsid w:val="00D11DB9"/>
    <w:rsid w:val="00D11E34"/>
    <w:rsid w:val="00D11EAE"/>
    <w:rsid w:val="00D1228B"/>
    <w:rsid w:val="00D12AC0"/>
    <w:rsid w:val="00D12ECA"/>
    <w:rsid w:val="00D12EFE"/>
    <w:rsid w:val="00D12F4C"/>
    <w:rsid w:val="00D135AB"/>
    <w:rsid w:val="00D135B4"/>
    <w:rsid w:val="00D140F9"/>
    <w:rsid w:val="00D14737"/>
    <w:rsid w:val="00D14916"/>
    <w:rsid w:val="00D14AF8"/>
    <w:rsid w:val="00D15011"/>
    <w:rsid w:val="00D1502B"/>
    <w:rsid w:val="00D153AF"/>
    <w:rsid w:val="00D15768"/>
    <w:rsid w:val="00D15D17"/>
    <w:rsid w:val="00D15EC0"/>
    <w:rsid w:val="00D162F8"/>
    <w:rsid w:val="00D1633E"/>
    <w:rsid w:val="00D16410"/>
    <w:rsid w:val="00D16B76"/>
    <w:rsid w:val="00D16DCC"/>
    <w:rsid w:val="00D1774F"/>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EAA"/>
    <w:rsid w:val="00D27105"/>
    <w:rsid w:val="00D2761B"/>
    <w:rsid w:val="00D27797"/>
    <w:rsid w:val="00D2780C"/>
    <w:rsid w:val="00D307DB"/>
    <w:rsid w:val="00D3081F"/>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5AE4"/>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CE8"/>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FE0"/>
    <w:rsid w:val="00D7590B"/>
    <w:rsid w:val="00D75DDA"/>
    <w:rsid w:val="00D76340"/>
    <w:rsid w:val="00D76AA1"/>
    <w:rsid w:val="00D774B3"/>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31A"/>
    <w:rsid w:val="00D93935"/>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37F"/>
    <w:rsid w:val="00DA36D9"/>
    <w:rsid w:val="00DA41F8"/>
    <w:rsid w:val="00DA43EA"/>
    <w:rsid w:val="00DA47B7"/>
    <w:rsid w:val="00DA48D6"/>
    <w:rsid w:val="00DA6058"/>
    <w:rsid w:val="00DA6E43"/>
    <w:rsid w:val="00DA7057"/>
    <w:rsid w:val="00DA732F"/>
    <w:rsid w:val="00DA7BA0"/>
    <w:rsid w:val="00DA7D01"/>
    <w:rsid w:val="00DB01B3"/>
    <w:rsid w:val="00DB0437"/>
    <w:rsid w:val="00DB0C74"/>
    <w:rsid w:val="00DB1308"/>
    <w:rsid w:val="00DB15C6"/>
    <w:rsid w:val="00DB1C86"/>
    <w:rsid w:val="00DB1E8A"/>
    <w:rsid w:val="00DB2BB8"/>
    <w:rsid w:val="00DB2CDB"/>
    <w:rsid w:val="00DB31BC"/>
    <w:rsid w:val="00DB32CC"/>
    <w:rsid w:val="00DB36E3"/>
    <w:rsid w:val="00DB4190"/>
    <w:rsid w:val="00DB43B0"/>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9D3"/>
    <w:rsid w:val="00DC2D7F"/>
    <w:rsid w:val="00DC2E80"/>
    <w:rsid w:val="00DC3016"/>
    <w:rsid w:val="00DC3413"/>
    <w:rsid w:val="00DC34A0"/>
    <w:rsid w:val="00DC3B59"/>
    <w:rsid w:val="00DC40EC"/>
    <w:rsid w:val="00DC4AA9"/>
    <w:rsid w:val="00DC4CEB"/>
    <w:rsid w:val="00DC4FF9"/>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43A"/>
    <w:rsid w:val="00DD179D"/>
    <w:rsid w:val="00DD20B0"/>
    <w:rsid w:val="00DD24D7"/>
    <w:rsid w:val="00DD3696"/>
    <w:rsid w:val="00DD36BD"/>
    <w:rsid w:val="00DD3A13"/>
    <w:rsid w:val="00DD4353"/>
    <w:rsid w:val="00DD4968"/>
    <w:rsid w:val="00DD4BE3"/>
    <w:rsid w:val="00DD5364"/>
    <w:rsid w:val="00DD543E"/>
    <w:rsid w:val="00DD55E2"/>
    <w:rsid w:val="00DD599F"/>
    <w:rsid w:val="00DD6768"/>
    <w:rsid w:val="00DD685E"/>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A1E"/>
    <w:rsid w:val="00E02B76"/>
    <w:rsid w:val="00E0303C"/>
    <w:rsid w:val="00E03349"/>
    <w:rsid w:val="00E03F24"/>
    <w:rsid w:val="00E0426D"/>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E48"/>
    <w:rsid w:val="00E07F9C"/>
    <w:rsid w:val="00E1052E"/>
    <w:rsid w:val="00E1067F"/>
    <w:rsid w:val="00E10783"/>
    <w:rsid w:val="00E10DB4"/>
    <w:rsid w:val="00E10DE3"/>
    <w:rsid w:val="00E1162D"/>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64B"/>
    <w:rsid w:val="00E14BE4"/>
    <w:rsid w:val="00E15FA2"/>
    <w:rsid w:val="00E1667A"/>
    <w:rsid w:val="00E16A38"/>
    <w:rsid w:val="00E16CCA"/>
    <w:rsid w:val="00E174A5"/>
    <w:rsid w:val="00E17CDF"/>
    <w:rsid w:val="00E2014D"/>
    <w:rsid w:val="00E20589"/>
    <w:rsid w:val="00E20DE8"/>
    <w:rsid w:val="00E211D0"/>
    <w:rsid w:val="00E2120C"/>
    <w:rsid w:val="00E21325"/>
    <w:rsid w:val="00E21593"/>
    <w:rsid w:val="00E21F99"/>
    <w:rsid w:val="00E2222B"/>
    <w:rsid w:val="00E231E3"/>
    <w:rsid w:val="00E24321"/>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B2"/>
    <w:rsid w:val="00E64CBD"/>
    <w:rsid w:val="00E64FEA"/>
    <w:rsid w:val="00E6500A"/>
    <w:rsid w:val="00E652C3"/>
    <w:rsid w:val="00E652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D93"/>
    <w:rsid w:val="00E742DC"/>
    <w:rsid w:val="00E7441F"/>
    <w:rsid w:val="00E74683"/>
    <w:rsid w:val="00E74FA2"/>
    <w:rsid w:val="00E7522D"/>
    <w:rsid w:val="00E753B4"/>
    <w:rsid w:val="00E753F1"/>
    <w:rsid w:val="00E75585"/>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40D"/>
    <w:rsid w:val="00E80737"/>
    <w:rsid w:val="00E80F83"/>
    <w:rsid w:val="00E8136C"/>
    <w:rsid w:val="00E81394"/>
    <w:rsid w:val="00E81C62"/>
    <w:rsid w:val="00E82089"/>
    <w:rsid w:val="00E82D82"/>
    <w:rsid w:val="00E82E03"/>
    <w:rsid w:val="00E8329F"/>
    <w:rsid w:val="00E83352"/>
    <w:rsid w:val="00E84B38"/>
    <w:rsid w:val="00E84E3D"/>
    <w:rsid w:val="00E8562D"/>
    <w:rsid w:val="00E867BC"/>
    <w:rsid w:val="00E87015"/>
    <w:rsid w:val="00E87827"/>
    <w:rsid w:val="00E878FF"/>
    <w:rsid w:val="00E90033"/>
    <w:rsid w:val="00E90AEF"/>
    <w:rsid w:val="00E90EB0"/>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BA2"/>
    <w:rsid w:val="00EA46D9"/>
    <w:rsid w:val="00EA47A8"/>
    <w:rsid w:val="00EA4910"/>
    <w:rsid w:val="00EA4AC1"/>
    <w:rsid w:val="00EA4C54"/>
    <w:rsid w:val="00EA4EB1"/>
    <w:rsid w:val="00EA4FEF"/>
    <w:rsid w:val="00EA56BA"/>
    <w:rsid w:val="00EA5717"/>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E66"/>
    <w:rsid w:val="00EF006A"/>
    <w:rsid w:val="00EF0070"/>
    <w:rsid w:val="00EF033F"/>
    <w:rsid w:val="00EF0BA8"/>
    <w:rsid w:val="00EF115D"/>
    <w:rsid w:val="00EF1873"/>
    <w:rsid w:val="00EF1DBE"/>
    <w:rsid w:val="00EF20B7"/>
    <w:rsid w:val="00EF22EF"/>
    <w:rsid w:val="00EF234B"/>
    <w:rsid w:val="00EF24E5"/>
    <w:rsid w:val="00EF2DD9"/>
    <w:rsid w:val="00EF2E68"/>
    <w:rsid w:val="00EF32B1"/>
    <w:rsid w:val="00EF3337"/>
    <w:rsid w:val="00EF34B9"/>
    <w:rsid w:val="00EF3F16"/>
    <w:rsid w:val="00EF3F91"/>
    <w:rsid w:val="00EF485F"/>
    <w:rsid w:val="00EF49DF"/>
    <w:rsid w:val="00EF4F55"/>
    <w:rsid w:val="00EF5CE4"/>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46E"/>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1EE9"/>
    <w:rsid w:val="00F22A5C"/>
    <w:rsid w:val="00F22BB1"/>
    <w:rsid w:val="00F22D60"/>
    <w:rsid w:val="00F22D71"/>
    <w:rsid w:val="00F22E8F"/>
    <w:rsid w:val="00F23573"/>
    <w:rsid w:val="00F23C58"/>
    <w:rsid w:val="00F23ED8"/>
    <w:rsid w:val="00F2409D"/>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644"/>
    <w:rsid w:val="00F4167D"/>
    <w:rsid w:val="00F41C9F"/>
    <w:rsid w:val="00F42333"/>
    <w:rsid w:val="00F428BD"/>
    <w:rsid w:val="00F429B5"/>
    <w:rsid w:val="00F42B3D"/>
    <w:rsid w:val="00F42C5F"/>
    <w:rsid w:val="00F42D44"/>
    <w:rsid w:val="00F4312C"/>
    <w:rsid w:val="00F431BB"/>
    <w:rsid w:val="00F435D4"/>
    <w:rsid w:val="00F436AB"/>
    <w:rsid w:val="00F43B93"/>
    <w:rsid w:val="00F4420B"/>
    <w:rsid w:val="00F44C69"/>
    <w:rsid w:val="00F453D1"/>
    <w:rsid w:val="00F45882"/>
    <w:rsid w:val="00F45898"/>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2D7"/>
    <w:rsid w:val="00F54D18"/>
    <w:rsid w:val="00F552BC"/>
    <w:rsid w:val="00F553A2"/>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74"/>
    <w:rsid w:val="00F63CF9"/>
    <w:rsid w:val="00F640CB"/>
    <w:rsid w:val="00F648EC"/>
    <w:rsid w:val="00F64ADA"/>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22F"/>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999"/>
    <w:rsid w:val="00F95C43"/>
    <w:rsid w:val="00F95F33"/>
    <w:rsid w:val="00F960D0"/>
    <w:rsid w:val="00F9692F"/>
    <w:rsid w:val="00F96AC8"/>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038A"/>
    <w:rsid w:val="00FD10E6"/>
    <w:rsid w:val="00FD15BB"/>
    <w:rsid w:val="00FD1AE5"/>
    <w:rsid w:val="00FD1CF1"/>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36E"/>
    <w:rsid w:val="00FE3394"/>
    <w:rsid w:val="00FE3671"/>
    <w:rsid w:val="00FE3A9C"/>
    <w:rsid w:val="00FE40E9"/>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0A69"/>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9D2"/>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4DE50922-EB12-4C12-BC88-EB6664658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83149CC1-151F-4DC7-B46D-2736E30ED27B}">
  <ds:schemaRefs>
    <ds:schemaRef ds:uri="http://www.w3.org/XML/1998/namespace"/>
    <ds:schemaRef ds:uri="http://purl.org/dc/dcmitype/"/>
    <ds:schemaRef ds:uri="d8762117-8292-4133-b1c7-eab5c6487cfd"/>
    <ds:schemaRef ds:uri="http://schemas.microsoft.com/office/2006/metadata/properties"/>
    <ds:schemaRef ds:uri="9b239327-9e80-40e4-b1b7-4394fed77a33"/>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2f282d3b-eb4a-4b09-b61f-b9593442e286"/>
    <ds:schemaRef ds:uri="http://schemas.microsoft.com/sharepoint/v3"/>
    <ds:schemaRef ds:uri="http://purl.org/dc/terms/"/>
  </ds:schemaRefs>
</ds:datastoreItem>
</file>

<file path=customXml/itemProps4.xml><?xml version="1.0" encoding="utf-8"?>
<ds:datastoreItem xmlns:ds="http://schemas.openxmlformats.org/officeDocument/2006/customXml" ds:itemID="{C25EDE61-7F94-44B5-91F6-3BE426384B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3</Pages>
  <Words>1016</Words>
  <Characters>5168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682</cp:revision>
  <dcterms:created xsi:type="dcterms:W3CDTF">2022-08-09T20:39:00Z</dcterms:created>
  <dcterms:modified xsi:type="dcterms:W3CDTF">2023-05-15T20:06:00Z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